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32"/>
          <w:szCs w:val="32"/>
          <w:shd w:val="clear" w:fill="FFFFFF"/>
          <w:lang w:val="en-US" w:eastAsia="zh-CN"/>
        </w:rPr>
        <w:t>P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32"/>
          <w:szCs w:val="32"/>
          <w:shd w:val="clear" w:fill="FFFFFF"/>
        </w:rPr>
        <w:t>16/Ki-67检测试剂盒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32"/>
          <w:szCs w:val="32"/>
          <w:shd w:val="clear" w:fill="FFFFFF"/>
          <w:lang w:val="en-US" w:eastAsia="zh-CN"/>
        </w:rPr>
        <w:t>技术参数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  <w:t>1、方法学：免疫细胞化学法；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  <w:t>2、产品规格≤20人份/盒；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  <w:t>3、试剂盒中核心试剂成份P16/Ki67的试剂装载量≥50ul/人份；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  <w:t>4、试剂质量稳定，试剂有效期≥18个月；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  <w:t>5、试剂需包含：过氧化物酶阻断剂，P16/Ki67试剂(P16鼠单克隆抗体，Ki-67兔单克隆抗体)，聚合物二抗试剂（多聚合物HRP标羊抗小鼠IgG和多聚合物AP标羊抗兔IgG），DAB显色液（DAB色源溶液、DAB底物缓冲液），Fast-Red显色液(Fast-Red浓缩液、Fast-Red稀释液），苏木素染色液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  <w:t>6、★每盒试剂盒需配套同品牌清洗液1套，免疫组化抗原修复缓冲液1瓶；需按试剂采购人份数同比例提供制片所需所有耗材。</w:t>
      </w:r>
    </w:p>
    <w:tbl>
      <w:tblPr>
        <w:tblStyle w:val="3"/>
        <w:tblpPr w:leftFromText="180" w:rightFromText="180" w:vertAnchor="text" w:horzAnchor="page" w:tblpX="1933" w:tblpY="6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2"/>
        <w:gridCol w:w="1850"/>
        <w:gridCol w:w="190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31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试剂名称</w:t>
            </w:r>
          </w:p>
        </w:tc>
        <w:tc>
          <w:tcPr>
            <w:tcW w:w="18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规格</w:t>
            </w:r>
          </w:p>
        </w:tc>
        <w:tc>
          <w:tcPr>
            <w:tcW w:w="19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控制单价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年用量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231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606266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p16Ki-67 检测试剂盒</w:t>
            </w:r>
          </w:p>
        </w:tc>
        <w:tc>
          <w:tcPr>
            <w:tcW w:w="18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606266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100人份/盒</w:t>
            </w:r>
          </w:p>
        </w:tc>
        <w:tc>
          <w:tcPr>
            <w:tcW w:w="19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606266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100元/人份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606266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06266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200人份</w:t>
            </w:r>
            <w:bookmarkStart w:id="0" w:name="_GoBack"/>
            <w:bookmarkEnd w:id="0"/>
          </w:p>
        </w:tc>
      </w:tr>
    </w:tbl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  <w:t xml:space="preserve">附 表：         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i w:val="0"/>
          <w:iCs w:val="0"/>
          <w:caps w:val="0"/>
          <w:color w:val="606266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OTEzYmM4NDY5ODhjMjMxZDgyYTRkZDQ4MWYxNzIifQ=="/>
  </w:docVars>
  <w:rsids>
    <w:rsidRoot w:val="00000000"/>
    <w:rsid w:val="05F75BFD"/>
    <w:rsid w:val="0862117F"/>
    <w:rsid w:val="09206897"/>
    <w:rsid w:val="18716A45"/>
    <w:rsid w:val="213351E0"/>
    <w:rsid w:val="21642211"/>
    <w:rsid w:val="247A136E"/>
    <w:rsid w:val="26064316"/>
    <w:rsid w:val="26887965"/>
    <w:rsid w:val="26BD2FCC"/>
    <w:rsid w:val="327D275F"/>
    <w:rsid w:val="374B4BD9"/>
    <w:rsid w:val="392C1FFE"/>
    <w:rsid w:val="3BE15B0C"/>
    <w:rsid w:val="40694322"/>
    <w:rsid w:val="41802B2E"/>
    <w:rsid w:val="42095BBA"/>
    <w:rsid w:val="49DB003F"/>
    <w:rsid w:val="4FFE6835"/>
    <w:rsid w:val="51515A06"/>
    <w:rsid w:val="532F4F57"/>
    <w:rsid w:val="569D2541"/>
    <w:rsid w:val="5E6C7060"/>
    <w:rsid w:val="653A4D00"/>
    <w:rsid w:val="66C055F2"/>
    <w:rsid w:val="69133E4E"/>
    <w:rsid w:val="6CEF01CC"/>
    <w:rsid w:val="726A4B22"/>
    <w:rsid w:val="7BFD5343"/>
    <w:rsid w:val="7C572CA5"/>
    <w:rsid w:val="7D461B77"/>
    <w:rsid w:val="7EAF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386</Characters>
  <Lines>0</Lines>
  <Paragraphs>0</Paragraphs>
  <TotalTime>1</TotalTime>
  <ScaleCrop>false</ScaleCrop>
  <LinksUpToDate>false</LinksUpToDate>
  <CharactersWithSpaces>386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2024-06-27T15:54:00Z</dcterms:created>
  <dc:creator>taoxu</dc:creator>
  <cp:lastModifiedBy>Icy</cp:lastModifiedBy>
  <dcterms:modified xsi:type="dcterms:W3CDTF">2024-10-16T07:40:43Z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C4464041E16D458EB9833A51B7153AC3_13</vt:lpwstr>
  </property>
</Properties>
</file>