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Fonts w:hint="eastAsia"/>
          <w:b/>
          <w:sz w:val="32"/>
          <w:szCs w:val="40"/>
        </w:rPr>
      </w:pPr>
      <w:r>
        <w:rPr>
          <w:rFonts w:hint="eastAsia"/>
          <w:b/>
          <w:sz w:val="32"/>
          <w:szCs w:val="40"/>
        </w:rPr>
        <w:t>注射用透明质酸钠复合溶液参数</w:t>
      </w:r>
    </w:p>
    <w:p>
      <w:pPr>
        <w:jc w:val="center"/>
        <w:textAlignment w:val="baseline"/>
        <w:rPr>
          <w:rFonts w:hint="eastAsia"/>
          <w:b/>
          <w:sz w:val="32"/>
          <w:szCs w:val="40"/>
        </w:rPr>
      </w:pPr>
    </w:p>
    <w:p>
      <w:pPr>
        <w:ind w:left="240" w:hanging="240" w:hangingChars="100"/>
        <w:textAlignment w:val="baseline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b/>
          <w:sz w:val="24"/>
          <w:szCs w:val="32"/>
        </w:rPr>
        <w:t>结构组成：</w:t>
      </w:r>
      <w:r>
        <w:rPr>
          <w:rFonts w:hint="eastAsia"/>
          <w:sz w:val="24"/>
          <w:szCs w:val="32"/>
        </w:rPr>
        <w:t>由预灌封注射器、不锈钢注射针（规格为30G）和封装在预灌封注射器中的复合溶液组成。复合溶液主要由透明质酸钠、L-肌肽、甘氨酸、丙氨酸、脯氨酸、维生素B2和注射用水组成，其中透明质酸钠由微生物发酵法制备，标示浓度为5mg/mL。复合溶液采用过滤除菌，经无菌灌装封装在预灌封注射器内。注射针无菌状态提供。该产品一次性使用。</w:t>
      </w:r>
    </w:p>
    <w:p>
      <w:pPr>
        <w:textAlignment w:val="baseline"/>
        <w:rPr>
          <w:b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b/>
          <w:sz w:val="24"/>
          <w:szCs w:val="32"/>
        </w:rPr>
        <w:t xml:space="preserve">型号规格：     </w:t>
      </w:r>
    </w:p>
    <w:p>
      <w:pPr>
        <w:textAlignment w:val="baseline"/>
        <w:rPr>
          <w:rFonts w:hint="eastAsia" w:eastAsia="等线"/>
          <w:sz w:val="24"/>
          <w:szCs w:val="32"/>
          <w:lang w:eastAsia="zh-CN"/>
        </w:rPr>
      </w:pPr>
      <w:r>
        <w:rPr>
          <w:rFonts w:hint="eastAsia"/>
          <w:b/>
          <w:sz w:val="24"/>
          <w:szCs w:val="32"/>
        </w:rPr>
        <w:t xml:space="preserve">    </w:t>
      </w:r>
      <w:r>
        <w:rPr>
          <w:rFonts w:hint="eastAsia"/>
          <w:b w:val="0"/>
          <w:bCs/>
          <w:sz w:val="24"/>
          <w:szCs w:val="32"/>
        </w:rPr>
        <w:t>1.</w:t>
      </w:r>
      <w:r>
        <w:rPr>
          <w:rFonts w:hint="eastAsia"/>
          <w:b w:val="0"/>
          <w:bCs/>
          <w:sz w:val="24"/>
          <w:szCs w:val="32"/>
          <w:lang w:val="en-US" w:eastAsia="zh-CN"/>
        </w:rPr>
        <w:t>0</w:t>
      </w:r>
      <w:r>
        <w:rPr>
          <w:rFonts w:hint="eastAsia"/>
          <w:b w:val="0"/>
          <w:bCs/>
          <w:sz w:val="24"/>
          <w:szCs w:val="32"/>
        </w:rPr>
        <w:t>mL/支</w:t>
      </w:r>
      <w:r>
        <w:rPr>
          <w:rFonts w:hint="eastAsia"/>
          <w:b w:val="0"/>
          <w:bCs/>
          <w:sz w:val="24"/>
          <w:szCs w:val="32"/>
          <w:lang w:eastAsia="zh-CN"/>
        </w:rPr>
        <w:t>、</w:t>
      </w:r>
      <w:r>
        <w:rPr>
          <w:rFonts w:hint="eastAsia"/>
          <w:b w:val="0"/>
          <w:bCs/>
          <w:sz w:val="24"/>
          <w:szCs w:val="32"/>
        </w:rPr>
        <w:t>1.5mL/支</w:t>
      </w:r>
      <w:r>
        <w:rPr>
          <w:rFonts w:hint="eastAsia"/>
          <w:b w:val="0"/>
          <w:bCs/>
          <w:sz w:val="24"/>
          <w:szCs w:val="32"/>
          <w:lang w:eastAsia="zh-CN"/>
        </w:rPr>
        <w:t>、</w:t>
      </w:r>
      <w:r>
        <w:rPr>
          <w:rFonts w:hint="eastAsia"/>
          <w:b w:val="0"/>
          <w:bCs/>
          <w:sz w:val="24"/>
          <w:szCs w:val="32"/>
        </w:rPr>
        <w:t>2.5mL/支</w:t>
      </w:r>
      <w:r>
        <w:rPr>
          <w:rFonts w:hint="eastAsia"/>
          <w:b w:val="0"/>
          <w:bCs/>
          <w:sz w:val="24"/>
          <w:szCs w:val="32"/>
          <w:lang w:eastAsia="zh-CN"/>
        </w:rPr>
        <w:t>。</w:t>
      </w:r>
    </w:p>
    <w:p>
      <w:pPr>
        <w:ind w:left="240" w:hanging="240" w:hangingChars="100"/>
        <w:textAlignment w:val="baseline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b/>
          <w:sz w:val="24"/>
          <w:szCs w:val="32"/>
        </w:rPr>
        <w:t>适用范围：</w:t>
      </w:r>
      <w:r>
        <w:rPr>
          <w:rFonts w:hint="eastAsia"/>
          <w:sz w:val="24"/>
          <w:szCs w:val="32"/>
        </w:rPr>
        <w:t>用于皮内真皮注射填充，以纠正颈部中重度皱纹。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</w:t>
      </w:r>
      <w:r>
        <w:rPr>
          <w:rFonts w:hint="eastAsia"/>
          <w:b/>
          <w:bCs/>
          <w:sz w:val="24"/>
          <w:szCs w:val="32"/>
          <w:lang w:val="en-US" w:eastAsia="zh-CN"/>
        </w:rPr>
        <w:t>年用量：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1.0ml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10支，1.5ml20支，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2.5ml10支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M2E5ZDZjODZmNjFkMmE5Y2FjNjc0MDZjMzRiZmEifQ=="/>
  </w:docVars>
  <w:rsids>
    <w:rsidRoot w:val="009070F0"/>
    <w:rsid w:val="00260E51"/>
    <w:rsid w:val="002E76CD"/>
    <w:rsid w:val="00462787"/>
    <w:rsid w:val="0046606E"/>
    <w:rsid w:val="00480026"/>
    <w:rsid w:val="009070F0"/>
    <w:rsid w:val="00A35A31"/>
    <w:rsid w:val="00CE5351"/>
    <w:rsid w:val="00D92BB7"/>
    <w:rsid w:val="033E5D93"/>
    <w:rsid w:val="04B3075A"/>
    <w:rsid w:val="0B1310F0"/>
    <w:rsid w:val="15155054"/>
    <w:rsid w:val="28E509A8"/>
    <w:rsid w:val="41823CCA"/>
    <w:rsid w:val="591A7957"/>
    <w:rsid w:val="6D546B22"/>
    <w:rsid w:val="7FE5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4A09C-606A-412C-BB90-249D0C9C8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223</Words>
  <Characters>249</Characters>
  <Lines>3</Lines>
  <Paragraphs>1</Paragraphs>
  <TotalTime>4</TotalTime>
  <ScaleCrop>false</ScaleCrop>
  <LinksUpToDate>false</LinksUpToDate>
  <CharactersWithSpaces>258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2022-03-09T05:24:00Z</dcterms:created>
  <dc:creator>User</dc:creator>
  <cp:lastModifiedBy>Administrator</cp:lastModifiedBy>
  <dcterms:modified xsi:type="dcterms:W3CDTF">2022-05-20T01:44:27Z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80171D490A5F460BA0C5326BC70520CB</vt:lpwstr>
  </property>
</Properties>
</file>