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48"/>
          <w:szCs w:val="4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48"/>
          <w:szCs w:val="48"/>
        </w:rPr>
        <w:t>B群链球菌液体显色培养基</w:t>
      </w:r>
      <w:r>
        <w:rPr>
          <w:rFonts w:hint="eastAsia" w:asciiTheme="majorEastAsia" w:hAnsiTheme="majorEastAsia" w:eastAsiaTheme="majorEastAsia" w:cstheme="majorEastAsia"/>
          <w:sz w:val="48"/>
          <w:szCs w:val="48"/>
          <w:lang w:eastAsia="zh-CN"/>
        </w:rPr>
        <w:t>招标参数</w:t>
      </w:r>
    </w:p>
    <w:p>
      <w:pPr>
        <w:rPr>
          <w:rFonts w:hint="eastAsia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1.试剂品名：B群链球菌液体显色培养基；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2.检测方法：增菌培养显色法，培养基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产色素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的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液体培养基，产色后可直接报阳性结果无需再做鉴定；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3.耗材要求：产品由冻干粉和培养管组成，操作简便，10秒完成复溶，无需要额外耗材；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4.操作要求：可整支拭子插入培养，无需标本处理，无需洗脱的繁琐步骤，可兼容直肠和阴道拭子同时培养，也可做后续的药敏实验；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5.设备要求：仅需37℃恒温培养设备，无需特殊操作环境，无需特殊设备；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6.试剂保存：采用真空冷冻干燥工艺，常温保存及运输，有效期≥12月；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7.资质要求：二类注册证；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8.产品规格：4ml/支；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9.采样拭子：配套采样拭子单/双拭子可选，材质为PS/PP材质拭子+涤纶拭子。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5D4C30"/>
    <w:rsid w:val="131E0844"/>
    <w:rsid w:val="18B64ED4"/>
    <w:rsid w:val="1EC3070F"/>
    <w:rsid w:val="1EC31109"/>
    <w:rsid w:val="21AA394F"/>
    <w:rsid w:val="2F0D58B6"/>
    <w:rsid w:val="5A642D1F"/>
    <w:rsid w:val="5D8D47E2"/>
    <w:rsid w:val="5FF13769"/>
    <w:rsid w:val="62603C20"/>
    <w:rsid w:val="635A42A0"/>
    <w:rsid w:val="64351FC5"/>
    <w:rsid w:val="649E7FEB"/>
    <w:rsid w:val="66174BEE"/>
    <w:rsid w:val="695656C0"/>
    <w:rsid w:val="6B8763E5"/>
    <w:rsid w:val="764A0CCA"/>
    <w:rsid w:val="7CB31527"/>
    <w:rsid w:val="7D5F7088"/>
    <w:rsid w:val="7E096E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2022-03-14T07:47:00Z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