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rPr>
          <w:rFonts w:hint="eastAsia" w:ascii="微软雅黑" w:hAnsi="微软雅黑"/>
          <w:color w:val="333333"/>
          <w:lang w:eastAsia="zh-CN"/>
        </w:rPr>
      </w:pPr>
      <w:r>
        <w:rPr>
          <w:rFonts w:hint="eastAsia" w:ascii="微软雅黑" w:hAnsi="微软雅黑"/>
          <w:color w:val="333333"/>
        </w:rPr>
        <w:t>附件4：</w:t>
      </w:r>
      <w:r>
        <w:rPr>
          <w:rFonts w:hint="eastAsia" w:ascii="微软雅黑" w:hAnsi="微软雅黑"/>
          <w:color w:val="333333"/>
          <w:lang w:eastAsia="zh-CN"/>
        </w:rPr>
        <w:t xml:space="preserve">                  </w:t>
      </w:r>
      <w:r>
        <w:rPr>
          <w:rFonts w:hint="eastAsia" w:ascii="黑体"/>
          <w:highlight w:val="yellow"/>
          <w:lang w:eastAsia="zh-CN"/>
        </w:rPr>
        <w:t>采购内容及要求</w:t>
      </w:r>
    </w:p>
    <w:p>
      <w:pPr>
        <w:spacing w:line="360" w:lineRule="auto"/>
        <w:rPr>
          <w:rFonts w:hint="eastAsia" w:ascii="宋体" w:hAnsi="宋体"/>
          <w:b/>
          <w:sz w:val="24"/>
        </w:rPr>
      </w:pPr>
    </w:p>
    <w:p>
      <w:pPr>
        <w:keepNext/>
        <w:keepLines/>
        <w:spacing w:before="260" w:after="260" w:line="416" w:lineRule="auto"/>
        <w:outlineLvl w:val="1"/>
        <w:rPr>
          <w:rFonts w:hint="eastAsia" w:ascii="黑体" w:hAnsi="黑体" w:eastAsia="黑体"/>
          <w:bCs/>
          <w:sz w:val="32"/>
          <w:szCs w:val="32"/>
        </w:rPr>
      </w:pPr>
      <w:bookmarkStart w:id="0" w:name="_Toc455587089"/>
      <w:bookmarkStart w:id="1" w:name="_Toc455587273"/>
      <w:bookmarkStart w:id="2" w:name="_Toc466024556"/>
      <w:bookmarkStart w:id="3" w:name="_Toc445554747"/>
      <w:r>
        <w:rPr>
          <w:rFonts w:hint="eastAsia" w:ascii="黑体" w:hAnsi="黑体" w:eastAsia="黑体"/>
          <w:bCs/>
          <w:sz w:val="32"/>
          <w:szCs w:val="32"/>
        </w:rPr>
        <w:t>1. 总则</w:t>
      </w:r>
      <w:bookmarkEnd w:id="0"/>
      <w:bookmarkEnd w:id="1"/>
      <w:bookmarkEnd w:id="2"/>
    </w:p>
    <w:p>
      <w:pPr>
        <w:widowControl/>
        <w:tabs>
          <w:tab w:val="left" w:pos="1406"/>
        </w:tabs>
        <w:snapToGrid w:val="0"/>
        <w:spacing w:line="360" w:lineRule="auto"/>
        <w:ind w:firstLine="420" w:firstLineChars="200"/>
        <w:rPr>
          <w:rFonts w:hint="eastAsia" w:ascii="宋体" w:hAnsi="宋体"/>
          <w:color w:val="FF0000"/>
          <w:szCs w:val="21"/>
        </w:rPr>
      </w:pPr>
      <w:r>
        <w:rPr>
          <w:rFonts w:hint="eastAsia" w:ascii="宋体" w:hAnsi="宋体"/>
          <w:szCs w:val="21"/>
        </w:rPr>
        <w:t>1.1 本采购需求所提出的要求是对本次招标服务的基本要求，并未涉及所有细节，也未充分引述有关标准、规范的全部条款。投标人应保证其提供的服务除了满足本采购需求外，还应符合中国国家、行业、地方或服务提供商所在国的有关标准、规范（尤其是必须符合中国国家标准的有关强制性规定</w:t>
      </w:r>
      <w:r>
        <w:rPr>
          <w:rFonts w:ascii="宋体" w:hAnsi="宋体"/>
          <w:szCs w:val="21"/>
        </w:rPr>
        <w:t>）</w:t>
      </w:r>
      <w:r>
        <w:rPr>
          <w:rFonts w:hint="eastAsia" w:ascii="宋体" w:hAnsi="宋体"/>
          <w:szCs w:val="21"/>
        </w:rPr>
        <w:t>。</w:t>
      </w:r>
    </w:p>
    <w:p>
      <w:pPr>
        <w:widowControl/>
        <w:tabs>
          <w:tab w:val="left" w:pos="1406"/>
        </w:tabs>
        <w:snapToGrid w:val="0"/>
        <w:spacing w:line="360" w:lineRule="auto"/>
        <w:ind w:firstLine="420" w:firstLineChars="200"/>
        <w:rPr>
          <w:rFonts w:hint="eastAsia" w:ascii="宋体" w:hAnsi="宋体"/>
          <w:szCs w:val="21"/>
        </w:rPr>
      </w:pPr>
      <w:r>
        <w:rPr>
          <w:rFonts w:hint="eastAsia" w:ascii="宋体" w:hAnsi="宋体"/>
          <w:szCs w:val="21"/>
        </w:rPr>
        <w:t>1.2 除非有特别说明，本采购需求中所列的具体要求，均理解为招标人可接受的最低要求。</w:t>
      </w:r>
    </w:p>
    <w:p>
      <w:pPr>
        <w:keepNext/>
        <w:keepLines/>
        <w:spacing w:before="260" w:after="260" w:line="416" w:lineRule="auto"/>
        <w:outlineLvl w:val="1"/>
        <w:rPr>
          <w:rFonts w:ascii="黑体" w:hAnsi="黑体" w:eastAsia="黑体"/>
          <w:bCs/>
          <w:sz w:val="32"/>
          <w:szCs w:val="32"/>
        </w:rPr>
      </w:pPr>
      <w:r>
        <w:rPr>
          <w:rFonts w:hint="eastAsia" w:ascii="黑体" w:hAnsi="黑体" w:eastAsia="黑体"/>
          <w:bCs/>
          <w:sz w:val="32"/>
          <w:szCs w:val="32"/>
        </w:rPr>
        <w:t>2. 采购范围</w:t>
      </w:r>
    </w:p>
    <w:bookmarkEnd w:id="3"/>
    <w:p>
      <w:pPr>
        <w:spacing w:line="360" w:lineRule="auto"/>
        <w:ind w:firstLine="482" w:firstLineChars="200"/>
        <w:rPr>
          <w:b/>
          <w:sz w:val="24"/>
        </w:rPr>
      </w:pPr>
      <w:r>
        <w:rPr>
          <w:rFonts w:hint="eastAsia"/>
          <w:b/>
          <w:sz w:val="24"/>
        </w:rPr>
        <w:t>一、项目概况</w:t>
      </w:r>
    </w:p>
    <w:p>
      <w:pPr>
        <w:spacing w:line="360" w:lineRule="auto"/>
        <w:ind w:firstLine="480" w:firstLineChars="200"/>
        <w:rPr>
          <w:sz w:val="24"/>
        </w:rPr>
      </w:pPr>
      <w:r>
        <w:rPr>
          <w:rFonts w:hint="eastAsia"/>
          <w:sz w:val="24"/>
        </w:rPr>
        <w:t>项目需对皖南医学院第</w:t>
      </w:r>
      <w:r>
        <w:rPr>
          <w:rFonts w:hint="eastAsia"/>
          <w:sz w:val="24"/>
          <w:lang w:val="en-US" w:eastAsia="zh-CN"/>
        </w:rPr>
        <w:t>二</w:t>
      </w:r>
      <w:r>
        <w:rPr>
          <w:rFonts w:hint="eastAsia"/>
          <w:sz w:val="24"/>
        </w:rPr>
        <w:t>附属医院</w:t>
      </w:r>
      <w:r>
        <w:rPr>
          <w:rFonts w:hint="eastAsia"/>
          <w:sz w:val="24"/>
          <w:lang w:val="en-US" w:eastAsia="zh-CN"/>
        </w:rPr>
        <w:t>2</w:t>
      </w:r>
      <w:r>
        <w:rPr>
          <w:rFonts w:hint="eastAsia"/>
          <w:sz w:val="24"/>
        </w:rPr>
        <w:t>栋房屋（总建筑面积约</w:t>
      </w:r>
      <w:r>
        <w:rPr>
          <w:rFonts w:hint="eastAsia"/>
          <w:sz w:val="24"/>
          <w:lang w:val="en-US" w:eastAsia="zh-CN"/>
        </w:rPr>
        <w:t>1.61</w:t>
      </w:r>
      <w:r>
        <w:rPr>
          <w:rFonts w:hint="eastAsia"/>
          <w:sz w:val="24"/>
        </w:rPr>
        <w:t>万平方米）进行结构安全鉴定、抗震鉴定和消防检测，提出相应的整改建议清单，并提供正式的检测（鉴定）报告，以及提供为期一年的跟踪技术服务（服务期从正式检测（鉴定）报告最终载明的日期起算）。需检测、鉴定的建构筑物清单详见附件。</w:t>
      </w:r>
    </w:p>
    <w:p>
      <w:pPr>
        <w:spacing w:line="360" w:lineRule="auto"/>
        <w:ind w:firstLine="482" w:firstLineChars="200"/>
        <w:rPr>
          <w:b/>
          <w:sz w:val="24"/>
        </w:rPr>
      </w:pPr>
      <w:r>
        <w:rPr>
          <w:rFonts w:hint="eastAsia"/>
          <w:b/>
          <w:sz w:val="24"/>
        </w:rPr>
        <w:t>二、工作内容</w:t>
      </w:r>
    </w:p>
    <w:p>
      <w:pPr>
        <w:spacing w:line="360" w:lineRule="auto"/>
        <w:ind w:firstLine="480" w:firstLineChars="200"/>
        <w:rPr>
          <w:rFonts w:hint="eastAsia"/>
          <w:sz w:val="24"/>
        </w:rPr>
      </w:pPr>
      <w:r>
        <w:rPr>
          <w:rFonts w:hint="eastAsia"/>
          <w:sz w:val="24"/>
          <w:highlight w:val="yellow"/>
        </w:rPr>
        <w:t>招标人委托投标供应商对皖南医学院第</w:t>
      </w:r>
      <w:r>
        <w:rPr>
          <w:rFonts w:hint="eastAsia"/>
          <w:sz w:val="24"/>
          <w:highlight w:val="yellow"/>
          <w:lang w:val="en-US" w:eastAsia="zh-CN"/>
        </w:rPr>
        <w:t>二</w:t>
      </w:r>
      <w:r>
        <w:rPr>
          <w:rFonts w:hint="eastAsia"/>
          <w:sz w:val="24"/>
          <w:highlight w:val="yellow"/>
        </w:rPr>
        <w:t>附属医院房屋进行结构安全性鉴定、抗震性能鉴定和消防检测</w:t>
      </w:r>
      <w:r>
        <w:rPr>
          <w:rFonts w:hint="eastAsia"/>
          <w:sz w:val="24"/>
        </w:rPr>
        <w:t>，投标供应商接受委托。招标人向投标供应商提供本工程房屋结构安全检测、抗震性能鉴定及消防检测所需的相关资料(包括房屋现有资料、施工图纸及其它相关资料)。没有这些资料时，由投标供应商对建筑物进行全面调查和实测得出数据，必要时应进行测绘，测绘图纸应满足检测、鉴定要求，费用包含在投标报价内。</w:t>
      </w:r>
    </w:p>
    <w:p>
      <w:pPr>
        <w:spacing w:line="360" w:lineRule="auto"/>
        <w:ind w:firstLine="480" w:firstLineChars="200"/>
        <w:rPr>
          <w:rFonts w:hint="eastAsia"/>
          <w:sz w:val="24"/>
        </w:rPr>
      </w:pPr>
      <w:r>
        <w:rPr>
          <w:rFonts w:hint="eastAsia"/>
          <w:sz w:val="24"/>
        </w:rPr>
        <w:t>投标供应商对相应房屋的结构体型尺寸和体量现状进行现场调查，了解房屋使用历史和使用现状，调查结构基本情况，并对房屋主体承重结构的质量现状进行评定，出具全部数据，供加固设计之用。</w:t>
      </w:r>
    </w:p>
    <w:p>
      <w:pPr>
        <w:spacing w:line="360" w:lineRule="auto"/>
        <w:ind w:firstLine="480" w:firstLineChars="200"/>
        <w:rPr>
          <w:rFonts w:hint="eastAsia"/>
          <w:sz w:val="24"/>
        </w:rPr>
      </w:pPr>
      <w:r>
        <w:rPr>
          <w:rFonts w:hint="eastAsia"/>
          <w:sz w:val="24"/>
        </w:rPr>
        <w:t>投标供应商根据招标人提供的房屋资料、地质勘察报告、施工图等资料，结合现场调查和检测的结果，按照有关国家规范的规定，对该房屋进行结构安全、抗震性能鉴定及消防检测。</w:t>
      </w:r>
    </w:p>
    <w:p>
      <w:pPr>
        <w:spacing w:line="360" w:lineRule="auto"/>
        <w:ind w:firstLine="480" w:firstLineChars="200"/>
        <w:rPr>
          <w:rFonts w:hint="eastAsia"/>
          <w:sz w:val="24"/>
        </w:rPr>
      </w:pPr>
      <w:r>
        <w:rPr>
          <w:rFonts w:hint="eastAsia"/>
          <w:sz w:val="24"/>
        </w:rPr>
        <w:t>投标供应商根据分析结果提出鉴定结论，并提交书面技术报告。鉴定（检测）报告满足房产证办理条件。若需加固、改进则提出加固改进的部位、加固改进处理建议。</w:t>
      </w:r>
    </w:p>
    <w:p>
      <w:pPr>
        <w:spacing w:line="360" w:lineRule="auto"/>
        <w:ind w:firstLine="480" w:firstLineChars="200"/>
        <w:rPr>
          <w:sz w:val="24"/>
        </w:rPr>
      </w:pPr>
      <w:r>
        <w:rPr>
          <w:rFonts w:hint="eastAsia"/>
          <w:sz w:val="24"/>
        </w:rPr>
        <w:t>招标人配合投标供应商工作人员的现场调查及检测工作(包括:现场准备工作和提供水电)，相关费用计入投标报价中。</w:t>
      </w:r>
    </w:p>
    <w:p>
      <w:pPr>
        <w:spacing w:line="360" w:lineRule="auto"/>
        <w:ind w:firstLine="482" w:firstLineChars="200"/>
        <w:rPr>
          <w:b/>
          <w:sz w:val="24"/>
        </w:rPr>
      </w:pPr>
      <w:r>
        <w:rPr>
          <w:rFonts w:hint="eastAsia"/>
          <w:b/>
          <w:sz w:val="24"/>
        </w:rPr>
        <w:t>三、检测资质</w:t>
      </w:r>
    </w:p>
    <w:p>
      <w:pPr>
        <w:spacing w:line="360" w:lineRule="auto"/>
        <w:ind w:firstLine="480" w:firstLineChars="200"/>
        <w:rPr>
          <w:sz w:val="24"/>
        </w:rPr>
      </w:pPr>
      <w:r>
        <w:rPr>
          <w:rFonts w:hint="eastAsia"/>
          <w:sz w:val="24"/>
        </w:rPr>
        <w:t>见招标公告。</w:t>
      </w:r>
    </w:p>
    <w:p>
      <w:pPr>
        <w:spacing w:line="360" w:lineRule="auto"/>
        <w:ind w:firstLine="482" w:firstLineChars="200"/>
        <w:rPr>
          <w:b/>
          <w:sz w:val="24"/>
        </w:rPr>
      </w:pPr>
      <w:r>
        <w:rPr>
          <w:rFonts w:hint="eastAsia"/>
          <w:b/>
          <w:sz w:val="24"/>
        </w:rPr>
        <w:t>四、检测内容（包括但不限于以下检测内容）</w:t>
      </w:r>
    </w:p>
    <w:p>
      <w:pPr>
        <w:spacing w:line="360" w:lineRule="auto"/>
        <w:ind w:firstLine="480" w:firstLineChars="200"/>
        <w:rPr>
          <w:rFonts w:hint="eastAsia"/>
          <w:sz w:val="24"/>
        </w:rPr>
      </w:pPr>
      <w:r>
        <w:rPr>
          <w:rFonts w:hint="eastAsia"/>
          <w:sz w:val="24"/>
        </w:rPr>
        <w:t>1、结构安全性检测</w:t>
      </w:r>
    </w:p>
    <w:p>
      <w:pPr>
        <w:spacing w:line="360" w:lineRule="auto"/>
        <w:ind w:firstLine="480" w:firstLineChars="200"/>
        <w:rPr>
          <w:rFonts w:hint="eastAsia"/>
          <w:sz w:val="24"/>
        </w:rPr>
      </w:pPr>
      <w:r>
        <w:rPr>
          <w:rFonts w:hint="eastAsia"/>
          <w:sz w:val="24"/>
        </w:rPr>
        <w:t>（1）现场环境和使用状况调查；</w:t>
      </w:r>
    </w:p>
    <w:p>
      <w:pPr>
        <w:spacing w:line="360" w:lineRule="auto"/>
        <w:ind w:firstLine="480" w:firstLineChars="200"/>
        <w:rPr>
          <w:rFonts w:hint="eastAsia"/>
          <w:sz w:val="24"/>
        </w:rPr>
      </w:pPr>
      <w:r>
        <w:rPr>
          <w:rFonts w:hint="eastAsia"/>
          <w:sz w:val="24"/>
        </w:rPr>
        <w:t>（2）结构体系、结构布置、构造措施、主要构件截面尺寸检测；</w:t>
      </w:r>
    </w:p>
    <w:p>
      <w:pPr>
        <w:spacing w:line="360" w:lineRule="auto"/>
        <w:ind w:firstLine="480" w:firstLineChars="200"/>
        <w:rPr>
          <w:rFonts w:hint="eastAsia"/>
          <w:sz w:val="24"/>
        </w:rPr>
      </w:pPr>
      <w:r>
        <w:rPr>
          <w:rFonts w:hint="eastAsia"/>
          <w:sz w:val="24"/>
        </w:rPr>
        <w:t>（3）地基基础检查及房屋整体倾斜检测；</w:t>
      </w:r>
    </w:p>
    <w:p>
      <w:pPr>
        <w:spacing w:line="360" w:lineRule="auto"/>
        <w:ind w:firstLine="480" w:firstLineChars="200"/>
        <w:rPr>
          <w:rFonts w:hint="eastAsia"/>
          <w:sz w:val="24"/>
        </w:rPr>
      </w:pPr>
      <w:r>
        <w:rPr>
          <w:rFonts w:hint="eastAsia"/>
          <w:sz w:val="24"/>
        </w:rPr>
        <w:t>（4）混凝土结构构件安全性检测</w:t>
      </w:r>
    </w:p>
    <w:p>
      <w:pPr>
        <w:spacing w:line="360" w:lineRule="auto"/>
        <w:ind w:firstLine="480" w:firstLineChars="200"/>
        <w:rPr>
          <w:rFonts w:hint="eastAsia"/>
          <w:sz w:val="24"/>
        </w:rPr>
      </w:pPr>
      <w:r>
        <w:rPr>
          <w:rFonts w:hint="eastAsia"/>
          <w:sz w:val="24"/>
        </w:rPr>
        <w:t>①混凝土强度检测、混凝土碳化深度检测；</w:t>
      </w:r>
    </w:p>
    <w:p>
      <w:pPr>
        <w:spacing w:line="360" w:lineRule="auto"/>
        <w:ind w:firstLine="480" w:firstLineChars="200"/>
        <w:rPr>
          <w:rFonts w:hint="eastAsia"/>
          <w:sz w:val="24"/>
        </w:rPr>
      </w:pPr>
      <w:r>
        <w:rPr>
          <w:rFonts w:hint="eastAsia"/>
          <w:sz w:val="24"/>
        </w:rPr>
        <w:t>②混凝土构件配筋检测；</w:t>
      </w:r>
    </w:p>
    <w:p>
      <w:pPr>
        <w:spacing w:line="360" w:lineRule="auto"/>
        <w:ind w:firstLine="480" w:firstLineChars="200"/>
        <w:rPr>
          <w:rFonts w:hint="eastAsia"/>
          <w:sz w:val="24"/>
        </w:rPr>
      </w:pPr>
      <w:r>
        <w:rPr>
          <w:rFonts w:hint="eastAsia"/>
          <w:sz w:val="24"/>
        </w:rPr>
        <w:t>③位移或变形检测；</w:t>
      </w:r>
    </w:p>
    <w:p>
      <w:pPr>
        <w:spacing w:line="360" w:lineRule="auto"/>
        <w:ind w:firstLine="480" w:firstLineChars="200"/>
        <w:rPr>
          <w:rFonts w:hint="eastAsia"/>
          <w:sz w:val="24"/>
        </w:rPr>
      </w:pPr>
      <w:r>
        <w:rPr>
          <w:rFonts w:hint="eastAsia"/>
          <w:sz w:val="24"/>
        </w:rPr>
        <w:t>④缺陷损伤检查。</w:t>
      </w:r>
    </w:p>
    <w:p>
      <w:pPr>
        <w:spacing w:line="360" w:lineRule="auto"/>
        <w:ind w:firstLine="480" w:firstLineChars="200"/>
        <w:rPr>
          <w:rFonts w:hint="eastAsia"/>
          <w:sz w:val="24"/>
        </w:rPr>
      </w:pPr>
      <w:r>
        <w:rPr>
          <w:rFonts w:hint="eastAsia"/>
          <w:sz w:val="24"/>
        </w:rPr>
        <w:t>⑤钢筋保护层厚度检测；</w:t>
      </w:r>
    </w:p>
    <w:p>
      <w:pPr>
        <w:spacing w:line="360" w:lineRule="auto"/>
        <w:ind w:firstLine="480" w:firstLineChars="200"/>
        <w:rPr>
          <w:rFonts w:hint="eastAsia"/>
          <w:sz w:val="24"/>
        </w:rPr>
      </w:pPr>
      <w:r>
        <w:rPr>
          <w:rFonts w:hint="eastAsia"/>
          <w:sz w:val="24"/>
        </w:rPr>
        <w:t>（5）砌体结构构件安全性检测</w:t>
      </w:r>
    </w:p>
    <w:p>
      <w:pPr>
        <w:spacing w:line="360" w:lineRule="auto"/>
        <w:ind w:firstLine="480" w:firstLineChars="200"/>
        <w:rPr>
          <w:rFonts w:hint="eastAsia"/>
          <w:sz w:val="24"/>
        </w:rPr>
      </w:pPr>
      <w:r>
        <w:rPr>
          <w:rFonts w:hint="eastAsia"/>
          <w:sz w:val="24"/>
        </w:rPr>
        <w:t>①砌筑砂浆强度、砖强度检测；</w:t>
      </w:r>
    </w:p>
    <w:p>
      <w:pPr>
        <w:spacing w:line="360" w:lineRule="auto"/>
        <w:ind w:firstLine="480" w:firstLineChars="200"/>
        <w:rPr>
          <w:rFonts w:hint="eastAsia"/>
          <w:sz w:val="24"/>
        </w:rPr>
      </w:pPr>
      <w:r>
        <w:rPr>
          <w:rFonts w:hint="eastAsia"/>
          <w:sz w:val="24"/>
        </w:rPr>
        <w:t>②连接与构造检查；</w:t>
      </w:r>
    </w:p>
    <w:p>
      <w:pPr>
        <w:spacing w:line="360" w:lineRule="auto"/>
        <w:ind w:firstLine="480" w:firstLineChars="200"/>
        <w:rPr>
          <w:rFonts w:hint="eastAsia"/>
          <w:sz w:val="24"/>
        </w:rPr>
      </w:pPr>
      <w:r>
        <w:rPr>
          <w:rFonts w:hint="eastAsia"/>
          <w:sz w:val="24"/>
        </w:rPr>
        <w:t>③位移或变形检测；</w:t>
      </w:r>
    </w:p>
    <w:p>
      <w:pPr>
        <w:spacing w:line="360" w:lineRule="auto"/>
        <w:ind w:firstLine="480" w:firstLineChars="200"/>
        <w:rPr>
          <w:rFonts w:hint="eastAsia"/>
          <w:sz w:val="24"/>
        </w:rPr>
      </w:pPr>
      <w:r>
        <w:rPr>
          <w:rFonts w:hint="eastAsia"/>
          <w:sz w:val="24"/>
        </w:rPr>
        <w:t>④缺陷损伤检查。</w:t>
      </w:r>
    </w:p>
    <w:p>
      <w:pPr>
        <w:spacing w:line="360" w:lineRule="auto"/>
        <w:ind w:firstLine="480" w:firstLineChars="200"/>
        <w:rPr>
          <w:rFonts w:hint="eastAsia"/>
          <w:sz w:val="24"/>
        </w:rPr>
      </w:pPr>
      <w:r>
        <w:rPr>
          <w:rFonts w:hint="eastAsia"/>
          <w:sz w:val="24"/>
        </w:rPr>
        <w:t>（6）钢结构构件安全性检测</w:t>
      </w:r>
    </w:p>
    <w:p>
      <w:pPr>
        <w:spacing w:line="360" w:lineRule="auto"/>
        <w:ind w:firstLine="480" w:firstLineChars="200"/>
        <w:rPr>
          <w:rFonts w:hint="eastAsia"/>
          <w:sz w:val="24"/>
        </w:rPr>
      </w:pPr>
      <w:r>
        <w:rPr>
          <w:rFonts w:hint="eastAsia"/>
          <w:sz w:val="24"/>
        </w:rPr>
        <w:t>①钢结构焊接质量无损检测；</w:t>
      </w:r>
    </w:p>
    <w:p>
      <w:pPr>
        <w:spacing w:line="360" w:lineRule="auto"/>
        <w:ind w:firstLine="480" w:firstLineChars="200"/>
        <w:rPr>
          <w:rFonts w:hint="eastAsia"/>
          <w:sz w:val="24"/>
        </w:rPr>
      </w:pPr>
      <w:r>
        <w:rPr>
          <w:rFonts w:hint="eastAsia"/>
          <w:sz w:val="24"/>
        </w:rPr>
        <w:t>②钢结构防腐及防火涂装检测；</w:t>
      </w:r>
    </w:p>
    <w:p>
      <w:pPr>
        <w:spacing w:line="360" w:lineRule="auto"/>
        <w:ind w:firstLine="480" w:firstLineChars="200"/>
        <w:rPr>
          <w:rFonts w:hint="eastAsia"/>
          <w:sz w:val="24"/>
        </w:rPr>
      </w:pPr>
      <w:r>
        <w:rPr>
          <w:rFonts w:hint="eastAsia"/>
          <w:sz w:val="24"/>
        </w:rPr>
        <w:t>③钢结构节点、机械连接用紧固标准件及高强度螺栓力学性能检测；</w:t>
      </w:r>
    </w:p>
    <w:p>
      <w:pPr>
        <w:spacing w:line="360" w:lineRule="auto"/>
        <w:ind w:firstLine="480" w:firstLineChars="200"/>
        <w:rPr>
          <w:rFonts w:hint="eastAsia"/>
          <w:sz w:val="24"/>
        </w:rPr>
      </w:pPr>
      <w:r>
        <w:rPr>
          <w:rFonts w:hint="eastAsia"/>
          <w:sz w:val="24"/>
        </w:rPr>
        <w:t>④钢网架结构的变形检测。</w:t>
      </w:r>
    </w:p>
    <w:p>
      <w:pPr>
        <w:spacing w:line="360" w:lineRule="auto"/>
        <w:ind w:firstLine="480" w:firstLineChars="200"/>
        <w:rPr>
          <w:rFonts w:hint="eastAsia"/>
          <w:sz w:val="24"/>
        </w:rPr>
      </w:pPr>
      <w:r>
        <w:rPr>
          <w:rFonts w:hint="eastAsia"/>
          <w:sz w:val="24"/>
        </w:rPr>
        <w:t>（7）建筑幕墙工程检测</w:t>
      </w:r>
    </w:p>
    <w:p>
      <w:pPr>
        <w:spacing w:line="360" w:lineRule="auto"/>
        <w:ind w:firstLine="480" w:firstLineChars="200"/>
        <w:rPr>
          <w:rFonts w:hint="eastAsia"/>
          <w:sz w:val="24"/>
        </w:rPr>
      </w:pPr>
      <w:r>
        <w:rPr>
          <w:rFonts w:hint="eastAsia"/>
          <w:sz w:val="24"/>
        </w:rPr>
        <w:t>①建筑幕墙的气密性、水密性、风压变形性能、层间变位性能检测；</w:t>
      </w:r>
    </w:p>
    <w:p>
      <w:pPr>
        <w:spacing w:line="360" w:lineRule="auto"/>
        <w:ind w:firstLine="480" w:firstLineChars="200"/>
        <w:rPr>
          <w:rFonts w:hint="eastAsia"/>
          <w:sz w:val="24"/>
        </w:rPr>
      </w:pPr>
      <w:r>
        <w:rPr>
          <w:rFonts w:hint="eastAsia"/>
          <w:sz w:val="24"/>
        </w:rPr>
        <w:t>②硅酮结构胶相容性检测。</w:t>
      </w:r>
    </w:p>
    <w:p>
      <w:pPr>
        <w:spacing w:line="360" w:lineRule="auto"/>
        <w:ind w:firstLine="480" w:firstLineChars="200"/>
        <w:rPr>
          <w:rFonts w:hint="eastAsia"/>
          <w:sz w:val="24"/>
        </w:rPr>
      </w:pPr>
      <w:r>
        <w:rPr>
          <w:rFonts w:hint="eastAsia"/>
          <w:sz w:val="24"/>
        </w:rPr>
        <w:t>③干挂石材应按支承构件，面板构件，连接及紧固类构件，建筑密封及粘结材料，零配件分类检验。</w:t>
      </w:r>
    </w:p>
    <w:p>
      <w:pPr>
        <w:spacing w:line="360" w:lineRule="auto"/>
        <w:ind w:firstLine="480" w:firstLineChars="200"/>
        <w:rPr>
          <w:rFonts w:hint="eastAsia"/>
          <w:sz w:val="24"/>
        </w:rPr>
      </w:pPr>
      <w:r>
        <w:rPr>
          <w:rFonts w:hint="eastAsia"/>
          <w:sz w:val="24"/>
        </w:rPr>
        <w:t>（</w:t>
      </w:r>
      <w:r>
        <w:rPr>
          <w:sz w:val="24"/>
        </w:rPr>
        <w:t>8</w:t>
      </w:r>
      <w:r>
        <w:rPr>
          <w:rFonts w:hint="eastAsia"/>
          <w:sz w:val="24"/>
        </w:rPr>
        <w:t>）结构承载力复核验算</w:t>
      </w:r>
    </w:p>
    <w:p>
      <w:pPr>
        <w:spacing w:line="360" w:lineRule="auto"/>
        <w:ind w:firstLine="480" w:firstLineChars="200"/>
        <w:rPr>
          <w:rFonts w:hint="eastAsia"/>
          <w:sz w:val="24"/>
        </w:rPr>
      </w:pPr>
      <w:r>
        <w:rPr>
          <w:rFonts w:hint="eastAsia"/>
          <w:sz w:val="24"/>
        </w:rPr>
        <w:t>（</w:t>
      </w:r>
      <w:r>
        <w:rPr>
          <w:sz w:val="24"/>
        </w:rPr>
        <w:t>9</w:t>
      </w:r>
      <w:r>
        <w:rPr>
          <w:rFonts w:hint="eastAsia"/>
          <w:sz w:val="24"/>
        </w:rPr>
        <w:t>）结构安全性鉴定评级与评价。</w:t>
      </w:r>
    </w:p>
    <w:p>
      <w:pPr>
        <w:spacing w:line="360" w:lineRule="auto"/>
        <w:ind w:firstLine="480" w:firstLineChars="200"/>
        <w:rPr>
          <w:rFonts w:hint="eastAsia"/>
          <w:sz w:val="24"/>
        </w:rPr>
      </w:pPr>
      <w:r>
        <w:rPr>
          <w:rFonts w:hint="eastAsia"/>
          <w:sz w:val="24"/>
        </w:rPr>
        <w:t>2、抗震检测</w:t>
      </w:r>
    </w:p>
    <w:p>
      <w:pPr>
        <w:spacing w:line="360" w:lineRule="auto"/>
        <w:ind w:firstLine="480" w:firstLineChars="200"/>
        <w:rPr>
          <w:rFonts w:hint="eastAsia"/>
          <w:sz w:val="24"/>
        </w:rPr>
      </w:pPr>
      <w:r>
        <w:rPr>
          <w:rFonts w:hint="eastAsia"/>
          <w:sz w:val="24"/>
        </w:rPr>
        <w:t>（1）搜集建构筑物的地基勘察报告、气象资料、施工图纸和竣工验收等原始资料，当资料不全时，应进行必要的调查与实测。</w:t>
      </w:r>
    </w:p>
    <w:p>
      <w:pPr>
        <w:spacing w:line="360" w:lineRule="auto"/>
        <w:ind w:firstLine="480" w:firstLineChars="200"/>
        <w:rPr>
          <w:rFonts w:hint="eastAsia"/>
          <w:sz w:val="24"/>
        </w:rPr>
      </w:pPr>
      <w:r>
        <w:rPr>
          <w:rFonts w:hint="eastAsia"/>
          <w:sz w:val="24"/>
        </w:rPr>
        <w:t>（2）检查建筑物现状与原始资料的相符程度、施工质量和维护状况，检测主要受力构件的缺陷。</w:t>
      </w:r>
    </w:p>
    <w:p>
      <w:pPr>
        <w:spacing w:line="360" w:lineRule="auto"/>
        <w:ind w:firstLine="480" w:firstLineChars="200"/>
        <w:rPr>
          <w:rFonts w:hint="eastAsia"/>
          <w:sz w:val="24"/>
        </w:rPr>
      </w:pPr>
      <w:r>
        <w:rPr>
          <w:rFonts w:hint="eastAsia"/>
          <w:sz w:val="24"/>
        </w:rPr>
        <w:t>（3）检查建构筑物所在场地、地基和基础的稳定性。</w:t>
      </w:r>
    </w:p>
    <w:p>
      <w:pPr>
        <w:spacing w:line="360" w:lineRule="auto"/>
        <w:ind w:firstLine="480" w:firstLineChars="200"/>
        <w:rPr>
          <w:rFonts w:hint="eastAsia"/>
          <w:sz w:val="24"/>
        </w:rPr>
      </w:pPr>
      <w:r>
        <w:rPr>
          <w:rFonts w:hint="eastAsia"/>
          <w:sz w:val="24"/>
        </w:rPr>
        <w:t>（4）根据各类建构筑物的特点、结构类型与布置、构造和抗震承载力等因素，采用相应的逐级鉴定方法进行抗震能力分析。</w:t>
      </w:r>
    </w:p>
    <w:p>
      <w:pPr>
        <w:spacing w:line="360" w:lineRule="auto"/>
        <w:ind w:firstLine="480" w:firstLineChars="200"/>
        <w:rPr>
          <w:rFonts w:hint="eastAsia"/>
          <w:sz w:val="24"/>
        </w:rPr>
      </w:pPr>
      <w:r>
        <w:rPr>
          <w:rFonts w:hint="eastAsia"/>
          <w:sz w:val="24"/>
        </w:rPr>
        <w:t>（5）对现有建构筑物整体抗震性能做出评价，符合抗震鉴定要求时，应说明其后续使用年限，不符合抗震鉴定要求时，应提出相应的抗震防灾对策和处理意见。</w:t>
      </w:r>
    </w:p>
    <w:p>
      <w:pPr>
        <w:spacing w:line="360" w:lineRule="auto"/>
        <w:ind w:firstLine="480" w:firstLineChars="200"/>
        <w:rPr>
          <w:rFonts w:hint="eastAsia"/>
          <w:sz w:val="24"/>
        </w:rPr>
      </w:pPr>
      <w:r>
        <w:rPr>
          <w:rFonts w:hint="eastAsia"/>
          <w:sz w:val="24"/>
        </w:rPr>
        <w:t>3、消防检测</w:t>
      </w:r>
    </w:p>
    <w:p>
      <w:pPr>
        <w:spacing w:line="360" w:lineRule="auto"/>
        <w:ind w:firstLine="480" w:firstLineChars="200"/>
        <w:rPr>
          <w:rFonts w:hint="eastAsia"/>
          <w:sz w:val="24"/>
        </w:rPr>
      </w:pPr>
      <w:r>
        <w:rPr>
          <w:rFonts w:hint="eastAsia"/>
          <w:sz w:val="24"/>
        </w:rPr>
        <w:t>（1）火灾自动报警系统</w:t>
      </w:r>
    </w:p>
    <w:p>
      <w:pPr>
        <w:spacing w:line="360" w:lineRule="auto"/>
        <w:ind w:firstLine="480" w:firstLineChars="200"/>
        <w:rPr>
          <w:rFonts w:hint="eastAsia"/>
          <w:sz w:val="24"/>
        </w:rPr>
      </w:pPr>
      <w:r>
        <w:rPr>
          <w:rFonts w:hint="eastAsia"/>
          <w:sz w:val="24"/>
        </w:rPr>
        <w:t>①自动报警系统线路的绝缘电阻及接地状况；</w:t>
      </w:r>
    </w:p>
    <w:p>
      <w:pPr>
        <w:spacing w:line="360" w:lineRule="auto"/>
        <w:ind w:firstLine="480" w:firstLineChars="200"/>
        <w:rPr>
          <w:rFonts w:hint="eastAsia"/>
          <w:sz w:val="24"/>
        </w:rPr>
      </w:pPr>
      <w:r>
        <w:rPr>
          <w:rFonts w:hint="eastAsia"/>
          <w:sz w:val="24"/>
        </w:rPr>
        <w:t>②火灾探测器和手动报警按钮的设置状况；</w:t>
      </w:r>
    </w:p>
    <w:p>
      <w:pPr>
        <w:spacing w:line="360" w:lineRule="auto"/>
        <w:ind w:firstLine="480" w:firstLineChars="200"/>
        <w:rPr>
          <w:rFonts w:hint="eastAsia"/>
          <w:sz w:val="24"/>
        </w:rPr>
      </w:pPr>
      <w:r>
        <w:rPr>
          <w:rFonts w:hint="eastAsia"/>
          <w:sz w:val="24"/>
        </w:rPr>
        <w:t>③火灾报警系统的信号反馈功能、通讯功能、灯光功能、音响功能；</w:t>
      </w:r>
    </w:p>
    <w:p>
      <w:pPr>
        <w:spacing w:line="360" w:lineRule="auto"/>
        <w:ind w:firstLine="480" w:firstLineChars="200"/>
        <w:rPr>
          <w:rFonts w:hint="eastAsia"/>
          <w:sz w:val="24"/>
        </w:rPr>
      </w:pPr>
      <w:r>
        <w:rPr>
          <w:rFonts w:hint="eastAsia"/>
          <w:sz w:val="24"/>
        </w:rPr>
        <w:t>④主备电源的设置及其转换功能，火灾报警控制器手动、自动、遥控和强行切换等功能；</w:t>
      </w:r>
    </w:p>
    <w:p>
      <w:pPr>
        <w:spacing w:line="360" w:lineRule="auto"/>
        <w:ind w:firstLine="480" w:firstLineChars="200"/>
        <w:rPr>
          <w:rFonts w:hint="eastAsia"/>
          <w:sz w:val="24"/>
        </w:rPr>
      </w:pPr>
      <w:r>
        <w:rPr>
          <w:rFonts w:hint="eastAsia"/>
          <w:sz w:val="24"/>
        </w:rPr>
        <w:t>⑤应急照明和疏散指示标志的设置、照度、转换时间和图形符号。</w:t>
      </w:r>
    </w:p>
    <w:p>
      <w:pPr>
        <w:spacing w:line="360" w:lineRule="auto"/>
        <w:ind w:firstLine="480" w:firstLineChars="200"/>
        <w:rPr>
          <w:rFonts w:hint="eastAsia"/>
          <w:sz w:val="24"/>
        </w:rPr>
      </w:pPr>
      <w:r>
        <w:rPr>
          <w:rFonts w:hint="eastAsia"/>
          <w:sz w:val="24"/>
        </w:rPr>
        <w:t>（2）消防供水系统</w:t>
      </w:r>
    </w:p>
    <w:p>
      <w:pPr>
        <w:spacing w:line="360" w:lineRule="auto"/>
        <w:ind w:firstLine="480" w:firstLineChars="200"/>
        <w:rPr>
          <w:rFonts w:hint="eastAsia"/>
          <w:sz w:val="24"/>
        </w:rPr>
      </w:pPr>
      <w:r>
        <w:rPr>
          <w:rFonts w:hint="eastAsia"/>
          <w:sz w:val="24"/>
        </w:rPr>
        <w:t>①消防水源的性质、进水管的条数和直径及消防水池的设置状况；</w:t>
      </w:r>
    </w:p>
    <w:p>
      <w:pPr>
        <w:spacing w:line="360" w:lineRule="auto"/>
        <w:ind w:firstLine="480" w:firstLineChars="200"/>
        <w:rPr>
          <w:rFonts w:hint="eastAsia"/>
          <w:sz w:val="24"/>
        </w:rPr>
      </w:pPr>
      <w:r>
        <w:rPr>
          <w:rFonts w:hint="eastAsia"/>
          <w:sz w:val="24"/>
        </w:rPr>
        <w:t>②消防水池的容积、水位指示器和补水设施、保证消防用水和防冻措施等；</w:t>
      </w:r>
    </w:p>
    <w:p>
      <w:pPr>
        <w:spacing w:line="360" w:lineRule="auto"/>
        <w:ind w:firstLine="480" w:firstLineChars="200"/>
        <w:rPr>
          <w:rFonts w:hint="eastAsia"/>
          <w:sz w:val="24"/>
        </w:rPr>
      </w:pPr>
      <w:r>
        <w:rPr>
          <w:rFonts w:hint="eastAsia"/>
          <w:sz w:val="24"/>
        </w:rPr>
        <w:t>③消防水箱的设置、容积、防冻措施、补水及单向阀的状况等；</w:t>
      </w:r>
    </w:p>
    <w:p>
      <w:pPr>
        <w:spacing w:line="360" w:lineRule="auto"/>
        <w:ind w:firstLine="480" w:firstLineChars="200"/>
        <w:rPr>
          <w:rFonts w:hint="eastAsia"/>
          <w:sz w:val="24"/>
        </w:rPr>
      </w:pPr>
      <w:r>
        <w:rPr>
          <w:rFonts w:hint="eastAsia"/>
          <w:sz w:val="24"/>
        </w:rPr>
        <w:t>④消防供水泵的性能、管道、手自动控制、启动时间，主备泵和主备电源转换功能等；</w:t>
      </w:r>
    </w:p>
    <w:p>
      <w:pPr>
        <w:spacing w:line="360" w:lineRule="auto"/>
        <w:ind w:firstLine="480" w:firstLineChars="200"/>
        <w:rPr>
          <w:rFonts w:hint="eastAsia"/>
          <w:sz w:val="24"/>
        </w:rPr>
      </w:pPr>
      <w:r>
        <w:rPr>
          <w:rFonts w:hint="eastAsia"/>
          <w:sz w:val="24"/>
        </w:rPr>
        <w:t>⑤水泵结合器的设置、标志及输送消防水的功能等；</w:t>
      </w:r>
    </w:p>
    <w:p>
      <w:pPr>
        <w:spacing w:line="360" w:lineRule="auto"/>
        <w:ind w:firstLine="480" w:firstLineChars="200"/>
        <w:rPr>
          <w:rFonts w:hint="eastAsia"/>
          <w:sz w:val="24"/>
        </w:rPr>
      </w:pPr>
      <w:r>
        <w:rPr>
          <w:rFonts w:hint="eastAsia"/>
          <w:sz w:val="24"/>
        </w:rPr>
        <w:t>（3）室内消火栓系统</w:t>
      </w:r>
    </w:p>
    <w:p>
      <w:pPr>
        <w:spacing w:line="360" w:lineRule="auto"/>
        <w:ind w:firstLine="480" w:firstLineChars="200"/>
        <w:rPr>
          <w:rFonts w:hint="eastAsia"/>
          <w:sz w:val="24"/>
        </w:rPr>
      </w:pPr>
      <w:r>
        <w:rPr>
          <w:rFonts w:hint="eastAsia"/>
          <w:sz w:val="24"/>
        </w:rPr>
        <w:t>①室内消火栓的安装、组件、规格及其间距等；</w:t>
      </w:r>
    </w:p>
    <w:p>
      <w:pPr>
        <w:spacing w:line="360" w:lineRule="auto"/>
        <w:ind w:firstLine="480" w:firstLineChars="200"/>
        <w:rPr>
          <w:rFonts w:hint="eastAsia"/>
          <w:sz w:val="24"/>
        </w:rPr>
      </w:pPr>
      <w:r>
        <w:rPr>
          <w:rFonts w:hint="eastAsia"/>
          <w:sz w:val="24"/>
        </w:rPr>
        <w:t>②屋顶消火栓的设置、防冻措施及其充实水柱长度等；</w:t>
      </w:r>
    </w:p>
    <w:p>
      <w:pPr>
        <w:spacing w:line="360" w:lineRule="auto"/>
        <w:ind w:firstLine="480" w:firstLineChars="200"/>
        <w:rPr>
          <w:rFonts w:hint="eastAsia"/>
          <w:sz w:val="24"/>
        </w:rPr>
      </w:pPr>
      <w:r>
        <w:rPr>
          <w:rFonts w:hint="eastAsia"/>
          <w:sz w:val="24"/>
        </w:rPr>
        <w:t>③室内消火栓管网的设置、管径、颜色、保证消防用水及其连接形状；</w:t>
      </w:r>
    </w:p>
    <w:p>
      <w:pPr>
        <w:spacing w:line="360" w:lineRule="auto"/>
        <w:ind w:firstLine="480" w:firstLineChars="200"/>
        <w:rPr>
          <w:rFonts w:hint="eastAsia"/>
          <w:sz w:val="24"/>
        </w:rPr>
      </w:pPr>
      <w:r>
        <w:rPr>
          <w:rFonts w:hint="eastAsia"/>
          <w:sz w:val="24"/>
        </w:rPr>
        <w:t>④室内消火栓的首层和最不利点的静压、动压及其充实水柱长度；</w:t>
      </w:r>
    </w:p>
    <w:p>
      <w:pPr>
        <w:spacing w:line="360" w:lineRule="auto"/>
        <w:ind w:firstLine="480" w:firstLineChars="200"/>
        <w:rPr>
          <w:rFonts w:hint="eastAsia"/>
          <w:sz w:val="24"/>
        </w:rPr>
      </w:pPr>
      <w:r>
        <w:rPr>
          <w:rFonts w:hint="eastAsia"/>
          <w:sz w:val="24"/>
        </w:rPr>
        <w:t>⑤手动启泵按钮的设置及其功能；</w:t>
      </w:r>
    </w:p>
    <w:p>
      <w:pPr>
        <w:spacing w:line="360" w:lineRule="auto"/>
        <w:ind w:firstLine="480" w:firstLineChars="200"/>
        <w:rPr>
          <w:rFonts w:hint="eastAsia"/>
          <w:sz w:val="24"/>
        </w:rPr>
      </w:pPr>
      <w:r>
        <w:rPr>
          <w:rFonts w:hint="eastAsia"/>
          <w:sz w:val="24"/>
        </w:rPr>
        <w:t>（4）自动喷水（雾）灭火系统</w:t>
      </w:r>
    </w:p>
    <w:p>
      <w:pPr>
        <w:spacing w:line="360" w:lineRule="auto"/>
        <w:ind w:firstLine="480" w:firstLineChars="200"/>
        <w:rPr>
          <w:rFonts w:hint="eastAsia"/>
          <w:sz w:val="24"/>
        </w:rPr>
      </w:pPr>
      <w:r>
        <w:rPr>
          <w:rFonts w:hint="eastAsia"/>
          <w:sz w:val="24"/>
        </w:rPr>
        <w:t>①管网的安装、连接、设置喷头数量及末端管径等；</w:t>
      </w:r>
    </w:p>
    <w:p>
      <w:pPr>
        <w:spacing w:line="360" w:lineRule="auto"/>
        <w:ind w:firstLine="480" w:firstLineChars="200"/>
        <w:rPr>
          <w:rFonts w:hint="eastAsia"/>
          <w:sz w:val="24"/>
        </w:rPr>
      </w:pPr>
      <w:r>
        <w:rPr>
          <w:rFonts w:hint="eastAsia"/>
          <w:sz w:val="24"/>
        </w:rPr>
        <w:t>②水流指示器和信号阀的安装及其功能；</w:t>
      </w:r>
    </w:p>
    <w:p>
      <w:pPr>
        <w:spacing w:line="360" w:lineRule="auto"/>
        <w:ind w:firstLine="480" w:firstLineChars="200"/>
        <w:rPr>
          <w:rFonts w:hint="eastAsia"/>
          <w:sz w:val="24"/>
        </w:rPr>
      </w:pPr>
      <w:r>
        <w:rPr>
          <w:rFonts w:hint="eastAsia"/>
          <w:sz w:val="24"/>
        </w:rPr>
        <w:t>③报警阀组的安装、阀门的状态、各组件及其功能；</w:t>
      </w:r>
    </w:p>
    <w:p>
      <w:pPr>
        <w:spacing w:line="360" w:lineRule="auto"/>
        <w:ind w:firstLine="480" w:firstLineChars="200"/>
        <w:rPr>
          <w:rFonts w:hint="eastAsia"/>
          <w:sz w:val="24"/>
        </w:rPr>
      </w:pPr>
      <w:r>
        <w:rPr>
          <w:rFonts w:hint="eastAsia"/>
          <w:sz w:val="24"/>
        </w:rPr>
        <w:t>④喷淋头安装、外观、保护间距和保护面积及与邻近障碍物的距离等；</w:t>
      </w:r>
    </w:p>
    <w:p>
      <w:pPr>
        <w:spacing w:line="360" w:lineRule="auto"/>
        <w:ind w:firstLine="480" w:firstLineChars="200"/>
        <w:rPr>
          <w:rFonts w:hint="eastAsia"/>
          <w:sz w:val="24"/>
        </w:rPr>
      </w:pPr>
      <w:r>
        <w:rPr>
          <w:rFonts w:hint="eastAsia"/>
          <w:sz w:val="24"/>
        </w:rPr>
        <w:t>⑤对自动喷淋水（雾）系统进行功能试验；</w:t>
      </w:r>
    </w:p>
    <w:p>
      <w:pPr>
        <w:spacing w:line="360" w:lineRule="auto"/>
        <w:ind w:firstLine="480" w:firstLineChars="200"/>
        <w:rPr>
          <w:rFonts w:hint="eastAsia"/>
          <w:sz w:val="24"/>
        </w:rPr>
      </w:pPr>
      <w:r>
        <w:rPr>
          <w:rFonts w:hint="eastAsia"/>
          <w:sz w:val="24"/>
        </w:rPr>
        <w:t>（5）防排烟及通风空调系统</w:t>
      </w:r>
    </w:p>
    <w:p>
      <w:pPr>
        <w:spacing w:line="360" w:lineRule="auto"/>
        <w:ind w:firstLine="480" w:firstLineChars="200"/>
        <w:rPr>
          <w:rFonts w:hint="eastAsia"/>
          <w:sz w:val="24"/>
        </w:rPr>
      </w:pPr>
      <w:r>
        <w:rPr>
          <w:rFonts w:hint="eastAsia"/>
          <w:sz w:val="24"/>
        </w:rPr>
        <w:t>①正压送风系统的风管、风机、送风口设置状况并测量其风速和正压送风值；</w:t>
      </w:r>
    </w:p>
    <w:p>
      <w:pPr>
        <w:spacing w:line="360" w:lineRule="auto"/>
        <w:ind w:firstLine="480" w:firstLineChars="200"/>
        <w:rPr>
          <w:rFonts w:hint="eastAsia"/>
          <w:sz w:val="24"/>
        </w:rPr>
      </w:pPr>
      <w:r>
        <w:rPr>
          <w:rFonts w:hint="eastAsia"/>
          <w:sz w:val="24"/>
        </w:rPr>
        <w:t>②排烟系统风机、风道、防火阀、送风口、主备电源设置状况及其功能；</w:t>
      </w:r>
    </w:p>
    <w:p>
      <w:pPr>
        <w:spacing w:line="360" w:lineRule="auto"/>
        <w:ind w:firstLine="480" w:firstLineChars="200"/>
        <w:rPr>
          <w:rFonts w:hint="eastAsia"/>
          <w:sz w:val="24"/>
        </w:rPr>
      </w:pPr>
      <w:r>
        <w:rPr>
          <w:rFonts w:hint="eastAsia"/>
          <w:sz w:val="24"/>
        </w:rPr>
        <w:t>③通风空调系统的管道和防火阀的设置状况；</w:t>
      </w:r>
    </w:p>
    <w:p>
      <w:pPr>
        <w:spacing w:line="360" w:lineRule="auto"/>
        <w:ind w:firstLine="480" w:firstLineChars="200"/>
        <w:rPr>
          <w:rFonts w:hint="eastAsia"/>
          <w:sz w:val="24"/>
        </w:rPr>
      </w:pPr>
      <w:r>
        <w:rPr>
          <w:rFonts w:hint="eastAsia"/>
          <w:sz w:val="24"/>
        </w:rPr>
        <w:t>④对各个系统进行手动、自动及联动功能试验。</w:t>
      </w:r>
    </w:p>
    <w:p>
      <w:pPr>
        <w:spacing w:line="360" w:lineRule="auto"/>
        <w:ind w:firstLine="480" w:firstLineChars="200"/>
        <w:rPr>
          <w:rFonts w:hint="eastAsia"/>
          <w:sz w:val="24"/>
        </w:rPr>
      </w:pPr>
      <w:r>
        <w:rPr>
          <w:rFonts w:hint="eastAsia"/>
          <w:sz w:val="24"/>
        </w:rPr>
        <w:t>（6）防火门、防火卷帘和挡烟垂壁</w:t>
      </w:r>
    </w:p>
    <w:p>
      <w:pPr>
        <w:spacing w:line="360" w:lineRule="auto"/>
        <w:ind w:firstLine="480" w:firstLineChars="200"/>
        <w:rPr>
          <w:rFonts w:ascii="宋体" w:hAnsi="宋体"/>
          <w:sz w:val="24"/>
          <w:szCs w:val="24"/>
        </w:rPr>
      </w:pPr>
      <w:r>
        <w:rPr>
          <w:rFonts w:hint="eastAsia"/>
          <w:sz w:val="24"/>
        </w:rPr>
        <w:t>对其外观、安装、传动机构、动作程序及其手动和联动功能进行检测</w:t>
      </w:r>
      <w:r>
        <w:rPr>
          <w:rFonts w:hint="eastAsia" w:ascii="宋体" w:hAnsi="宋体"/>
          <w:sz w:val="24"/>
          <w:szCs w:val="24"/>
        </w:rPr>
        <w:t>。</w:t>
      </w:r>
    </w:p>
    <w:p>
      <w:pPr>
        <w:spacing w:line="360" w:lineRule="auto"/>
        <w:ind w:firstLine="482" w:firstLineChars="200"/>
        <w:rPr>
          <w:b/>
          <w:bCs/>
          <w:sz w:val="24"/>
        </w:rPr>
      </w:pPr>
      <w:r>
        <w:rPr>
          <w:rFonts w:hint="eastAsia"/>
          <w:b/>
          <w:bCs/>
          <w:sz w:val="24"/>
        </w:rPr>
        <w:t>五、其他要求</w:t>
      </w:r>
    </w:p>
    <w:p>
      <w:pPr>
        <w:spacing w:line="360" w:lineRule="auto"/>
        <w:ind w:firstLine="480" w:firstLineChars="200"/>
        <w:rPr>
          <w:rFonts w:hint="eastAsia"/>
          <w:sz w:val="24"/>
        </w:rPr>
      </w:pPr>
      <w:r>
        <w:rPr>
          <w:rFonts w:hint="eastAsia"/>
          <w:sz w:val="24"/>
        </w:rPr>
        <w:t>1、投标供应商的报价应包括但不限于所投服务的所有材料、资料、劳务、机械、利润、税金、政策性文件规定、及合同包含的所有风险、责任、义务以及评审等一切应有费用。</w:t>
      </w:r>
    </w:p>
    <w:p>
      <w:pPr>
        <w:spacing w:line="360" w:lineRule="auto"/>
        <w:ind w:firstLine="480" w:firstLineChars="200"/>
        <w:rPr>
          <w:rFonts w:hint="eastAsia"/>
          <w:sz w:val="24"/>
        </w:rPr>
      </w:pPr>
      <w:r>
        <w:rPr>
          <w:rFonts w:hint="eastAsia"/>
          <w:sz w:val="24"/>
        </w:rPr>
        <w:t>2、中标供应商需保证本次安全性检测及鉴定的技术成果数据真实可靠，如在后期整改施工过程中发现疑问，中标供应商及时安排人员现场解释或复检。</w:t>
      </w:r>
    </w:p>
    <w:p>
      <w:pPr>
        <w:spacing w:line="360" w:lineRule="auto"/>
        <w:ind w:firstLine="480" w:firstLineChars="200"/>
        <w:rPr>
          <w:rFonts w:hint="eastAsia"/>
          <w:sz w:val="24"/>
        </w:rPr>
      </w:pPr>
      <w:r>
        <w:rPr>
          <w:rFonts w:hint="eastAsia"/>
          <w:sz w:val="24"/>
        </w:rPr>
        <w:t>3、中标供应商按照现行国家和省、市、行业安全生产、文明施工有关规定要求和医院相关规定要求，办理相关手续，设置有关围挡、标志等。施工过程中发生的任何事故均由中标供应商承担完全责任，给招标人造成的损失，必须无条件赔偿。</w:t>
      </w:r>
    </w:p>
    <w:p>
      <w:pPr>
        <w:spacing w:line="360" w:lineRule="auto"/>
        <w:ind w:firstLine="480" w:firstLineChars="200"/>
        <w:rPr>
          <w:rFonts w:hint="eastAsia"/>
          <w:sz w:val="24"/>
        </w:rPr>
      </w:pPr>
      <w:r>
        <w:rPr>
          <w:rFonts w:hint="eastAsia"/>
          <w:sz w:val="24"/>
        </w:rPr>
        <w:t>4、检测期间不得影响招标人的正常医疗秩序，如遇检测过程与招标人的医疗活动出现冲突等情况，中标供应商必须服从招标人管理。中标供应商不得损坏污损医院其他设施，如有损坏，必须原样修复或全额赔偿。</w:t>
      </w:r>
    </w:p>
    <w:p>
      <w:pPr>
        <w:spacing w:line="360" w:lineRule="auto"/>
        <w:ind w:firstLine="480" w:firstLineChars="200"/>
        <w:rPr>
          <w:rFonts w:hint="eastAsia"/>
          <w:sz w:val="24"/>
        </w:rPr>
      </w:pPr>
      <w:r>
        <w:rPr>
          <w:rFonts w:hint="eastAsia"/>
          <w:sz w:val="24"/>
        </w:rPr>
        <w:t>5、中标供应商在取样检测后，遗留的孔洞、坑道应负责填补，恢复原样，费用包含在投标报价内，恢复时间包含在合同工期内。</w:t>
      </w:r>
    </w:p>
    <w:p>
      <w:pPr>
        <w:spacing w:line="360" w:lineRule="auto"/>
        <w:ind w:firstLine="480" w:firstLineChars="200"/>
        <w:rPr>
          <w:rFonts w:hint="eastAsia"/>
          <w:sz w:val="24"/>
        </w:rPr>
      </w:pPr>
      <w:r>
        <w:rPr>
          <w:rFonts w:hint="eastAsia"/>
          <w:sz w:val="24"/>
        </w:rPr>
        <w:t>6、中标供应商应遵守医院及政府有关疫情防控相关规定，配合开展疫情防控工作。</w:t>
      </w:r>
    </w:p>
    <w:p>
      <w:pPr>
        <w:spacing w:line="360" w:lineRule="auto"/>
        <w:ind w:firstLine="480" w:firstLineChars="200"/>
        <w:rPr>
          <w:sz w:val="24"/>
        </w:rPr>
      </w:pPr>
      <w:r>
        <w:rPr>
          <w:rFonts w:hint="eastAsia"/>
          <w:sz w:val="24"/>
        </w:rPr>
        <w:t>7、中标供应商应按单体房屋出具检测（鉴定）报告，每栋房屋检测（鉴定）报告份数应满足招标人办理房屋产权证需要，如增加份数，中标供应商应免费提供。</w:t>
      </w:r>
    </w:p>
    <w:p>
      <w:pPr>
        <w:spacing w:line="360" w:lineRule="auto"/>
        <w:ind w:firstLine="480" w:firstLineChars="200"/>
        <w:rPr>
          <w:sz w:val="24"/>
        </w:rPr>
      </w:pPr>
    </w:p>
    <w:p>
      <w:pPr>
        <w:spacing w:line="360" w:lineRule="auto"/>
        <w:ind w:firstLine="480" w:firstLineChars="200"/>
        <w:rPr>
          <w:rFonts w:hint="eastAsia"/>
          <w:sz w:val="24"/>
        </w:rPr>
      </w:pPr>
      <w:r>
        <w:rPr>
          <w:rFonts w:hint="eastAsia"/>
          <w:sz w:val="24"/>
        </w:rPr>
        <w:t>注：</w:t>
      </w:r>
    </w:p>
    <w:p>
      <w:pPr>
        <w:spacing w:line="360" w:lineRule="auto"/>
        <w:ind w:firstLine="480" w:firstLineChars="200"/>
        <w:rPr>
          <w:sz w:val="24"/>
        </w:rPr>
      </w:pPr>
      <w:r>
        <w:rPr>
          <w:rFonts w:hint="eastAsia"/>
          <w:sz w:val="24"/>
        </w:rPr>
        <w:t xml:space="preserve">1、本采购需求中提出的服务方案仅为参考，如无明确限制，投标供应商可以进行优化，提供满足招标人实际需要的更优（或者性能实质上不低于的）服务方案，且此方案须经评标委员会评审认可；检测方法及抽样方案标准应不低于《建筑结构检测技术标准》（GBT50344-2019）、《既有建筑幕墙安全性鉴定技术规程》（DB34T3752-2020）。 </w:t>
      </w:r>
    </w:p>
    <w:p>
      <w:pPr>
        <w:spacing w:line="360" w:lineRule="auto"/>
        <w:ind w:firstLine="480" w:firstLineChars="200"/>
        <w:rPr>
          <w:rFonts w:hint="eastAsia"/>
          <w:sz w:val="24"/>
        </w:rPr>
      </w:pPr>
      <w:r>
        <w:rPr>
          <w:rFonts w:hint="eastAsia"/>
          <w:sz w:val="24"/>
        </w:rPr>
        <w:t>2、投标供应商应当在投标文件中列出完成本项目并通过验收所需的所有各项服务等全部费用。中标供应商必须确保整体通过招标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ind w:firstLine="480" w:firstLineChars="200"/>
        <w:rPr>
          <w:rFonts w:hint="eastAsia"/>
          <w:sz w:val="24"/>
        </w:rPr>
      </w:pPr>
      <w:r>
        <w:rPr>
          <w:rFonts w:hint="eastAsia"/>
          <w:sz w:val="24"/>
        </w:rPr>
        <w:t>3、如对本招标文件有任何疑问或澄清要求，请按本招标文件“投标人须知前附表”中约定方式联系招标代理机构，或接受答疑截止时间前联系招标人，否则视同理解和接受，投标供应商对招标文件、采购过程、中标结果的异议，应当在法定公示期内一次性提出针对同一采购程序环节的异议。</w:t>
      </w:r>
    </w:p>
    <w:p>
      <w:pPr>
        <w:spacing w:line="360" w:lineRule="auto"/>
        <w:ind w:firstLine="480" w:firstLineChars="200"/>
        <w:rPr>
          <w:rFonts w:hint="eastAsia"/>
          <w:sz w:val="24"/>
        </w:rPr>
        <w:sectPr>
          <w:pgSz w:w="11906" w:h="16838"/>
          <w:pgMar w:top="1134" w:right="1134" w:bottom="1134" w:left="1134" w:header="851" w:footer="992" w:gutter="0"/>
          <w:cols w:space="720" w:num="1"/>
          <w:docGrid w:linePitch="312" w:charSpace="0"/>
        </w:sectPr>
      </w:pPr>
    </w:p>
    <w:p>
      <w:pPr>
        <w:widowControl/>
        <w:jc w:val="left"/>
        <w:rPr>
          <w:sz w:val="24"/>
        </w:rPr>
      </w:pPr>
    </w:p>
    <w:tbl>
      <w:tblPr>
        <w:tblStyle w:val="3"/>
        <w:tblW w:w="5000" w:type="pct"/>
        <w:tblInd w:w="0" w:type="dxa"/>
        <w:tblLayout w:type="autofit"/>
        <w:tblCellMar>
          <w:top w:w="0" w:type="dxa"/>
          <w:left w:w="108" w:type="dxa"/>
          <w:bottom w:w="0" w:type="dxa"/>
          <w:right w:w="108" w:type="dxa"/>
        </w:tblCellMar>
      </w:tblPr>
      <w:tblGrid>
        <w:gridCol w:w="618"/>
        <w:gridCol w:w="1540"/>
        <w:gridCol w:w="1114"/>
        <w:gridCol w:w="816"/>
        <w:gridCol w:w="1020"/>
        <w:gridCol w:w="1370"/>
        <w:gridCol w:w="1027"/>
        <w:gridCol w:w="1017"/>
      </w:tblGrid>
      <w:tr>
        <w:tblPrEx>
          <w:tblCellMar>
            <w:top w:w="0" w:type="dxa"/>
            <w:left w:w="108" w:type="dxa"/>
            <w:bottom w:w="0" w:type="dxa"/>
            <w:right w:w="108" w:type="dxa"/>
          </w:tblCellMar>
        </w:tblPrEx>
        <w:trPr>
          <w:trHeight w:val="540" w:hRule="atLeast"/>
        </w:trPr>
        <w:tc>
          <w:tcPr>
            <w:tcW w:w="4403" w:type="pct"/>
            <w:gridSpan w:val="7"/>
            <w:tcBorders>
              <w:top w:val="nil"/>
              <w:left w:val="nil"/>
              <w:bottom w:val="single" w:color="auto" w:sz="4" w:space="0"/>
              <w:right w:val="nil"/>
            </w:tcBorders>
            <w:noWrap/>
            <w:vAlign w:val="center"/>
          </w:tcPr>
          <w:p>
            <w:pPr>
              <w:widowControl/>
              <w:jc w:val="center"/>
              <w:rPr>
                <w:rFonts w:ascii="宋体" w:hAnsi="宋体" w:cs="宋体"/>
                <w:b/>
                <w:bCs/>
                <w:kern w:val="0"/>
                <w:sz w:val="24"/>
                <w:szCs w:val="24"/>
              </w:rPr>
            </w:pPr>
            <w:r>
              <w:rPr>
                <w:rFonts w:hint="eastAsia" w:ascii="宋体" w:hAnsi="宋体" w:cs="宋体"/>
                <w:b/>
                <w:bCs/>
                <w:kern w:val="0"/>
                <w:sz w:val="24"/>
                <w:szCs w:val="24"/>
              </w:rPr>
              <w:t>皖南医学院第</w:t>
            </w:r>
            <w:r>
              <w:rPr>
                <w:rFonts w:hint="eastAsia" w:ascii="宋体" w:hAnsi="宋体" w:cs="宋体"/>
                <w:b/>
                <w:bCs/>
                <w:kern w:val="0"/>
                <w:sz w:val="24"/>
                <w:szCs w:val="24"/>
                <w:lang w:val="en-US" w:eastAsia="zh-CN"/>
              </w:rPr>
              <w:t>二</w:t>
            </w:r>
            <w:r>
              <w:rPr>
                <w:rFonts w:hint="eastAsia" w:ascii="宋体" w:hAnsi="宋体" w:cs="宋体"/>
                <w:b/>
                <w:bCs/>
                <w:kern w:val="0"/>
                <w:sz w:val="24"/>
                <w:szCs w:val="24"/>
              </w:rPr>
              <w:t>附属医院无产权房屋检测清单</w:t>
            </w:r>
          </w:p>
        </w:tc>
        <w:tc>
          <w:tcPr>
            <w:tcW w:w="596" w:type="pct"/>
            <w:tcBorders>
              <w:top w:val="nil"/>
              <w:left w:val="nil"/>
              <w:bottom w:val="single" w:color="auto" w:sz="4" w:space="0"/>
              <w:right w:val="nil"/>
            </w:tcBorders>
            <w:noWrap/>
            <w:vAlign w:val="center"/>
          </w:tcPr>
          <w:p>
            <w:pPr>
              <w:widowControl/>
              <w:jc w:val="left"/>
              <w:rPr>
                <w:rFonts w:ascii="宋体" w:hAnsi="宋体" w:cs="宋体"/>
                <w:b/>
                <w:bCs/>
                <w:kern w:val="0"/>
                <w:sz w:val="24"/>
                <w:szCs w:val="24"/>
              </w:rPr>
            </w:pPr>
            <w:r>
              <w:rPr>
                <w:rFonts w:hint="eastAsia" w:ascii="宋体" w:hAnsi="宋体" w:cs="宋体"/>
                <w:b/>
                <w:bCs/>
                <w:kern w:val="0"/>
                <w:sz w:val="24"/>
                <w:szCs w:val="24"/>
              </w:rPr>
              <w:t>　</w:t>
            </w:r>
          </w:p>
        </w:tc>
      </w:tr>
      <w:tr>
        <w:tblPrEx>
          <w:tblCellMar>
            <w:top w:w="0" w:type="dxa"/>
            <w:left w:w="108" w:type="dxa"/>
            <w:bottom w:w="0" w:type="dxa"/>
            <w:right w:w="108" w:type="dxa"/>
          </w:tblCellMar>
        </w:tblPrEx>
        <w:trPr>
          <w:trHeight w:val="390" w:hRule="atLeast"/>
        </w:trPr>
        <w:tc>
          <w:tcPr>
            <w:tcW w:w="36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20"/>
              </w:rPr>
            </w:pPr>
            <w:r>
              <w:rPr>
                <w:rFonts w:hint="eastAsia" w:ascii="宋体" w:hAnsi="宋体" w:cs="宋体"/>
                <w:b/>
                <w:bCs/>
                <w:kern w:val="0"/>
                <w:sz w:val="20"/>
              </w:rPr>
              <w:t>序号</w:t>
            </w:r>
          </w:p>
        </w:tc>
        <w:tc>
          <w:tcPr>
            <w:tcW w:w="904"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b/>
                <w:bCs/>
                <w:kern w:val="0"/>
                <w:sz w:val="20"/>
              </w:rPr>
            </w:pPr>
            <w:r>
              <w:rPr>
                <w:rFonts w:hint="eastAsia" w:ascii="宋体" w:hAnsi="宋体" w:cs="宋体"/>
                <w:b/>
                <w:bCs/>
                <w:kern w:val="0"/>
                <w:sz w:val="20"/>
              </w:rPr>
              <w:t>资产名称</w:t>
            </w:r>
          </w:p>
        </w:tc>
        <w:tc>
          <w:tcPr>
            <w:tcW w:w="654"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b/>
                <w:bCs/>
                <w:kern w:val="0"/>
                <w:sz w:val="20"/>
              </w:rPr>
            </w:pPr>
            <w:r>
              <w:rPr>
                <w:rFonts w:hint="eastAsia" w:ascii="宋体" w:hAnsi="宋体" w:cs="宋体"/>
                <w:b/>
                <w:bCs/>
                <w:kern w:val="0"/>
                <w:sz w:val="20"/>
              </w:rPr>
              <w:t>建筑面积</w:t>
            </w:r>
          </w:p>
        </w:tc>
        <w:tc>
          <w:tcPr>
            <w:tcW w:w="478"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b/>
                <w:bCs/>
                <w:kern w:val="0"/>
                <w:sz w:val="20"/>
              </w:rPr>
            </w:pPr>
            <w:r>
              <w:rPr>
                <w:rFonts w:hint="eastAsia" w:ascii="宋体" w:hAnsi="宋体" w:cs="宋体"/>
                <w:b/>
                <w:bCs/>
                <w:kern w:val="0"/>
                <w:sz w:val="20"/>
              </w:rPr>
              <w:t>所属</w:t>
            </w:r>
          </w:p>
        </w:tc>
        <w:tc>
          <w:tcPr>
            <w:tcW w:w="598"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b/>
                <w:bCs/>
                <w:kern w:val="0"/>
                <w:sz w:val="20"/>
              </w:rPr>
            </w:pPr>
            <w:r>
              <w:rPr>
                <w:rFonts w:hint="eastAsia" w:ascii="宋体" w:hAnsi="宋体" w:cs="宋体"/>
                <w:b/>
                <w:bCs/>
                <w:kern w:val="0"/>
                <w:sz w:val="20"/>
              </w:rPr>
              <w:t>建筑结构</w:t>
            </w:r>
          </w:p>
        </w:tc>
        <w:tc>
          <w:tcPr>
            <w:tcW w:w="804"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b/>
                <w:bCs/>
                <w:kern w:val="0"/>
                <w:sz w:val="20"/>
              </w:rPr>
            </w:pPr>
            <w:r>
              <w:rPr>
                <w:rFonts w:hint="eastAsia" w:ascii="宋体" w:hAnsi="宋体" w:cs="宋体"/>
                <w:b/>
                <w:bCs/>
                <w:kern w:val="0"/>
                <w:sz w:val="20"/>
              </w:rPr>
              <w:t>坐落位置</w:t>
            </w:r>
          </w:p>
        </w:tc>
        <w:tc>
          <w:tcPr>
            <w:tcW w:w="599" w:type="pct"/>
            <w:tcBorders>
              <w:top w:val="nil"/>
              <w:left w:val="nil"/>
              <w:bottom w:val="single" w:color="auto" w:sz="4" w:space="0"/>
              <w:right w:val="single" w:color="auto" w:sz="4" w:space="0"/>
            </w:tcBorders>
            <w:noWrap/>
            <w:vAlign w:val="center"/>
          </w:tcPr>
          <w:p>
            <w:pPr>
              <w:widowControl/>
              <w:jc w:val="center"/>
              <w:rPr>
                <w:rFonts w:ascii="宋体" w:hAnsi="宋体" w:cs="宋体"/>
                <w:b/>
                <w:bCs/>
                <w:kern w:val="0"/>
                <w:sz w:val="20"/>
              </w:rPr>
            </w:pPr>
            <w:r>
              <w:rPr>
                <w:rFonts w:hint="eastAsia" w:ascii="宋体" w:hAnsi="宋体" w:cs="宋体"/>
                <w:b/>
                <w:bCs/>
                <w:kern w:val="0"/>
                <w:sz w:val="20"/>
              </w:rPr>
              <w:t>竣工年限</w:t>
            </w:r>
          </w:p>
        </w:tc>
        <w:tc>
          <w:tcPr>
            <w:tcW w:w="596" w:type="pct"/>
            <w:tcBorders>
              <w:top w:val="nil"/>
              <w:left w:val="nil"/>
              <w:bottom w:val="single" w:color="auto" w:sz="4" w:space="0"/>
              <w:right w:val="single" w:color="auto" w:sz="4" w:space="0"/>
            </w:tcBorders>
            <w:noWrap/>
            <w:vAlign w:val="center"/>
          </w:tcPr>
          <w:p>
            <w:pPr>
              <w:widowControl/>
              <w:jc w:val="center"/>
              <w:rPr>
                <w:rFonts w:ascii="宋体" w:hAnsi="宋体" w:cs="宋体"/>
                <w:b/>
                <w:bCs/>
                <w:kern w:val="0"/>
                <w:sz w:val="20"/>
              </w:rPr>
            </w:pPr>
            <w:r>
              <w:rPr>
                <w:rFonts w:hint="eastAsia" w:ascii="宋体" w:hAnsi="宋体" w:cs="宋体"/>
                <w:b/>
                <w:bCs/>
                <w:kern w:val="0"/>
                <w:sz w:val="20"/>
              </w:rPr>
              <w:t>备注</w:t>
            </w:r>
          </w:p>
        </w:tc>
      </w:tr>
      <w:tr>
        <w:tblPrEx>
          <w:tblCellMar>
            <w:top w:w="0" w:type="dxa"/>
            <w:left w:w="108" w:type="dxa"/>
            <w:bottom w:w="0" w:type="dxa"/>
            <w:right w:w="108" w:type="dxa"/>
          </w:tblCellMar>
        </w:tblPrEx>
        <w:trPr>
          <w:trHeight w:val="390" w:hRule="atLeast"/>
        </w:trPr>
        <w:tc>
          <w:tcPr>
            <w:tcW w:w="362"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rPr>
              <w:t>1</w:t>
            </w:r>
          </w:p>
        </w:tc>
        <w:tc>
          <w:tcPr>
            <w:tcW w:w="904" w:type="pct"/>
            <w:tcBorders>
              <w:top w:val="nil"/>
              <w:left w:val="nil"/>
              <w:bottom w:val="single" w:color="auto" w:sz="4" w:space="0"/>
              <w:right w:val="single" w:color="auto" w:sz="4" w:space="0"/>
            </w:tcBorders>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干部病房大楼</w:t>
            </w:r>
          </w:p>
        </w:tc>
        <w:tc>
          <w:tcPr>
            <w:tcW w:w="654" w:type="pct"/>
            <w:tcBorders>
              <w:top w:val="nil"/>
              <w:left w:val="nil"/>
              <w:bottom w:val="single" w:color="auto" w:sz="4" w:space="0"/>
              <w:right w:val="single" w:color="auto" w:sz="4" w:space="0"/>
            </w:tcBorders>
            <w:noWrap/>
            <w:vAlign w:val="center"/>
          </w:tcPr>
          <w:p>
            <w:pPr>
              <w:widowControl/>
              <w:jc w:val="right"/>
              <w:rPr>
                <w:rFonts w:ascii="宋体" w:hAnsi="宋体" w:cs="宋体"/>
                <w:kern w:val="0"/>
                <w:sz w:val="20"/>
              </w:rPr>
            </w:pPr>
            <w:r>
              <w:rPr>
                <w:rFonts w:hint="eastAsia" w:ascii="宋体" w:hAnsi="宋体" w:cs="宋体"/>
                <w:kern w:val="0"/>
                <w:sz w:val="20"/>
                <w:lang w:val="en-US" w:eastAsia="zh-CN"/>
              </w:rPr>
              <w:t>6877.00</w:t>
            </w:r>
            <w:r>
              <w:rPr>
                <w:rFonts w:hint="eastAsia" w:ascii="宋体" w:hAnsi="宋体" w:cs="宋体"/>
                <w:kern w:val="0"/>
                <w:sz w:val="20"/>
              </w:rPr>
              <w:t xml:space="preserve"> </w:t>
            </w:r>
          </w:p>
        </w:tc>
        <w:tc>
          <w:tcPr>
            <w:tcW w:w="478" w:type="pct"/>
            <w:tcBorders>
              <w:top w:val="nil"/>
              <w:left w:val="nil"/>
              <w:bottom w:val="single" w:color="auto" w:sz="4" w:space="0"/>
              <w:right w:val="single" w:color="auto" w:sz="4" w:space="0"/>
            </w:tcBorders>
            <w:noWrap/>
            <w:vAlign w:val="center"/>
          </w:tcPr>
          <w:p>
            <w:pPr>
              <w:widowControl/>
              <w:jc w:val="center"/>
              <w:rPr>
                <w:rFonts w:hint="eastAsia" w:ascii="宋体" w:hAnsi="宋体" w:cs="宋体" w:eastAsiaTheme="minorEastAsia"/>
                <w:kern w:val="0"/>
                <w:sz w:val="20"/>
                <w:lang w:eastAsia="zh-CN"/>
              </w:rPr>
            </w:pPr>
            <w:r>
              <w:rPr>
                <w:rFonts w:hint="eastAsia" w:ascii="宋体" w:hAnsi="宋体" w:cs="宋体"/>
                <w:kern w:val="0"/>
                <w:sz w:val="20"/>
                <w:lang w:val="en-US" w:eastAsia="zh-CN"/>
              </w:rPr>
              <w:t>二附院</w:t>
            </w:r>
          </w:p>
        </w:tc>
        <w:tc>
          <w:tcPr>
            <w:tcW w:w="598"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钢混</w:t>
            </w:r>
          </w:p>
        </w:tc>
        <w:tc>
          <w:tcPr>
            <w:tcW w:w="804" w:type="pct"/>
            <w:tcBorders>
              <w:top w:val="nil"/>
              <w:left w:val="nil"/>
              <w:bottom w:val="single" w:color="auto" w:sz="4" w:space="0"/>
              <w:right w:val="single" w:color="auto" w:sz="4" w:space="0"/>
            </w:tcBorders>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皖医二附院院内</w:t>
            </w:r>
          </w:p>
        </w:tc>
        <w:tc>
          <w:tcPr>
            <w:tcW w:w="599" w:type="pct"/>
            <w:tcBorders>
              <w:top w:val="nil"/>
              <w:left w:val="nil"/>
              <w:bottom w:val="single" w:color="auto" w:sz="4" w:space="0"/>
              <w:right w:val="single" w:color="auto" w:sz="4" w:space="0"/>
            </w:tcBorders>
            <w:noWrap/>
            <w:vAlign w:val="center"/>
          </w:tcPr>
          <w:p>
            <w:pPr>
              <w:widowControl/>
              <w:jc w:val="center"/>
              <w:rPr>
                <w:rFonts w:hint="eastAsia" w:ascii="宋体" w:hAnsi="宋体" w:cs="宋体" w:eastAsiaTheme="minorEastAsia"/>
                <w:kern w:val="0"/>
                <w:sz w:val="20"/>
                <w:lang w:val="en-US" w:eastAsia="zh-CN"/>
              </w:rPr>
            </w:pPr>
            <w:r>
              <w:rPr>
                <w:rFonts w:hint="eastAsia" w:ascii="宋体" w:hAnsi="宋体" w:cs="宋体"/>
                <w:kern w:val="0"/>
                <w:sz w:val="20"/>
              </w:rPr>
              <w:t>199</w:t>
            </w:r>
            <w:r>
              <w:rPr>
                <w:rFonts w:hint="eastAsia" w:ascii="宋体" w:hAnsi="宋体" w:cs="宋体"/>
                <w:kern w:val="0"/>
                <w:sz w:val="20"/>
                <w:lang w:val="en-US" w:eastAsia="zh-CN"/>
              </w:rPr>
              <w:t>9</w:t>
            </w:r>
            <w:r>
              <w:rPr>
                <w:rFonts w:hint="eastAsia" w:ascii="宋体" w:hAnsi="宋体" w:cs="宋体"/>
                <w:kern w:val="0"/>
                <w:sz w:val="20"/>
              </w:rPr>
              <w:t>.</w:t>
            </w:r>
            <w:r>
              <w:rPr>
                <w:rFonts w:hint="eastAsia" w:ascii="宋体" w:hAnsi="宋体" w:cs="宋体"/>
                <w:kern w:val="0"/>
                <w:sz w:val="20"/>
                <w:lang w:val="en-US" w:eastAsia="zh-CN"/>
              </w:rPr>
              <w:t>5</w:t>
            </w:r>
          </w:p>
        </w:tc>
        <w:tc>
          <w:tcPr>
            <w:tcW w:w="596"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医疗用房</w:t>
            </w:r>
          </w:p>
        </w:tc>
      </w:tr>
      <w:tr>
        <w:tblPrEx>
          <w:tblCellMar>
            <w:top w:w="0" w:type="dxa"/>
            <w:left w:w="108" w:type="dxa"/>
            <w:bottom w:w="0" w:type="dxa"/>
            <w:right w:w="108" w:type="dxa"/>
          </w:tblCellMar>
        </w:tblPrEx>
        <w:trPr>
          <w:trHeight w:val="390" w:hRule="atLeast"/>
        </w:trPr>
        <w:tc>
          <w:tcPr>
            <w:tcW w:w="362"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rPr>
              <w:t>2</w:t>
            </w:r>
          </w:p>
        </w:tc>
        <w:tc>
          <w:tcPr>
            <w:tcW w:w="904" w:type="pct"/>
            <w:tcBorders>
              <w:top w:val="nil"/>
              <w:left w:val="nil"/>
              <w:bottom w:val="single" w:color="auto" w:sz="4" w:space="0"/>
              <w:right w:val="single" w:color="auto" w:sz="4" w:space="0"/>
            </w:tcBorders>
            <w:vAlign w:val="center"/>
          </w:tcPr>
          <w:p>
            <w:pPr>
              <w:widowControl/>
              <w:jc w:val="left"/>
              <w:rPr>
                <w:rFonts w:hint="default" w:ascii="宋体" w:hAnsi="宋体" w:cs="宋体" w:eastAsiaTheme="minorEastAsia"/>
                <w:kern w:val="0"/>
                <w:sz w:val="20"/>
                <w:lang w:val="en-US" w:eastAsia="zh-CN"/>
              </w:rPr>
            </w:pPr>
            <w:r>
              <w:rPr>
                <w:rFonts w:hint="eastAsia" w:ascii="宋体" w:hAnsi="宋体" w:cs="宋体"/>
                <w:kern w:val="0"/>
                <w:sz w:val="20"/>
                <w:lang w:val="en-US" w:eastAsia="zh-CN"/>
              </w:rPr>
              <w:t>12层门诊楼</w:t>
            </w:r>
          </w:p>
        </w:tc>
        <w:tc>
          <w:tcPr>
            <w:tcW w:w="654" w:type="pct"/>
            <w:tcBorders>
              <w:top w:val="nil"/>
              <w:left w:val="nil"/>
              <w:bottom w:val="single" w:color="auto" w:sz="4" w:space="0"/>
              <w:right w:val="single" w:color="auto" w:sz="4" w:space="0"/>
            </w:tcBorders>
            <w:noWrap/>
            <w:vAlign w:val="center"/>
          </w:tcPr>
          <w:p>
            <w:pPr>
              <w:widowControl/>
              <w:jc w:val="right"/>
              <w:rPr>
                <w:rFonts w:ascii="宋体" w:hAnsi="宋体" w:cs="宋体"/>
                <w:kern w:val="0"/>
                <w:sz w:val="20"/>
              </w:rPr>
            </w:pPr>
            <w:r>
              <w:rPr>
                <w:rFonts w:hint="eastAsia" w:ascii="宋体" w:hAnsi="宋体" w:cs="宋体"/>
                <w:kern w:val="0"/>
                <w:sz w:val="20"/>
                <w:lang w:val="en-US" w:eastAsia="zh-CN"/>
              </w:rPr>
              <w:t>9200.00</w:t>
            </w:r>
            <w:r>
              <w:rPr>
                <w:rFonts w:hint="eastAsia" w:ascii="宋体" w:hAnsi="宋体" w:cs="宋体"/>
                <w:kern w:val="0"/>
                <w:sz w:val="20"/>
              </w:rPr>
              <w:t xml:space="preserve"> </w:t>
            </w:r>
          </w:p>
        </w:tc>
        <w:tc>
          <w:tcPr>
            <w:tcW w:w="478" w:type="pct"/>
            <w:tcBorders>
              <w:top w:val="nil"/>
              <w:left w:val="nil"/>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lang w:val="en-US" w:eastAsia="zh-CN"/>
              </w:rPr>
              <w:t>二</w:t>
            </w:r>
            <w:r>
              <w:rPr>
                <w:rFonts w:hint="eastAsia" w:ascii="宋体" w:hAnsi="宋体" w:cs="宋体"/>
                <w:kern w:val="0"/>
                <w:sz w:val="20"/>
              </w:rPr>
              <w:t>附院</w:t>
            </w:r>
          </w:p>
        </w:tc>
        <w:tc>
          <w:tcPr>
            <w:tcW w:w="598"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钢混</w:t>
            </w:r>
          </w:p>
        </w:tc>
        <w:tc>
          <w:tcPr>
            <w:tcW w:w="804" w:type="pct"/>
            <w:tcBorders>
              <w:top w:val="nil"/>
              <w:left w:val="nil"/>
              <w:bottom w:val="single" w:color="auto" w:sz="4" w:space="0"/>
              <w:right w:val="single" w:color="auto" w:sz="4" w:space="0"/>
            </w:tcBorders>
            <w:vAlign w:val="center"/>
          </w:tcPr>
          <w:p>
            <w:pPr>
              <w:widowControl/>
              <w:jc w:val="left"/>
              <w:rPr>
                <w:rFonts w:ascii="宋体" w:hAnsi="宋体" w:cs="宋体"/>
                <w:kern w:val="0"/>
                <w:sz w:val="20"/>
              </w:rPr>
            </w:pPr>
            <w:r>
              <w:rPr>
                <w:rFonts w:hint="eastAsia" w:ascii="宋体" w:hAnsi="宋体" w:cs="宋体"/>
                <w:kern w:val="0"/>
                <w:sz w:val="20"/>
                <w:lang w:val="en-US" w:eastAsia="zh-CN"/>
              </w:rPr>
              <w:t>皖医二附院院内</w:t>
            </w:r>
          </w:p>
        </w:tc>
        <w:tc>
          <w:tcPr>
            <w:tcW w:w="599" w:type="pct"/>
            <w:tcBorders>
              <w:top w:val="nil"/>
              <w:left w:val="nil"/>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lang w:val="en-US" w:eastAsia="zh-CN"/>
              </w:rPr>
              <w:t>1997</w:t>
            </w:r>
            <w:r>
              <w:rPr>
                <w:rFonts w:hint="eastAsia" w:ascii="宋体" w:hAnsi="宋体" w:cs="宋体"/>
                <w:kern w:val="0"/>
                <w:sz w:val="20"/>
              </w:rPr>
              <w:t>.5</w:t>
            </w:r>
          </w:p>
        </w:tc>
        <w:tc>
          <w:tcPr>
            <w:tcW w:w="596"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医疗用房</w:t>
            </w:r>
          </w:p>
        </w:tc>
      </w:tr>
      <w:tr>
        <w:tblPrEx>
          <w:tblCellMar>
            <w:top w:w="0" w:type="dxa"/>
            <w:left w:w="108" w:type="dxa"/>
            <w:bottom w:w="0" w:type="dxa"/>
            <w:right w:w="108" w:type="dxa"/>
          </w:tblCellMar>
        </w:tblPrEx>
        <w:trPr>
          <w:trHeight w:val="390" w:hRule="atLeast"/>
        </w:trPr>
        <w:tc>
          <w:tcPr>
            <w:tcW w:w="362"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rPr>
              <w:t>合计</w:t>
            </w:r>
          </w:p>
        </w:tc>
        <w:tc>
          <w:tcPr>
            <w:tcW w:w="904"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　</w:t>
            </w:r>
          </w:p>
        </w:tc>
        <w:tc>
          <w:tcPr>
            <w:tcW w:w="654" w:type="pct"/>
            <w:tcBorders>
              <w:top w:val="nil"/>
              <w:left w:val="nil"/>
              <w:bottom w:val="single" w:color="auto" w:sz="4" w:space="0"/>
              <w:right w:val="single" w:color="auto" w:sz="4" w:space="0"/>
            </w:tcBorders>
            <w:noWrap/>
            <w:vAlign w:val="center"/>
          </w:tcPr>
          <w:p>
            <w:pPr>
              <w:widowControl/>
              <w:jc w:val="right"/>
              <w:rPr>
                <w:rFonts w:hint="default" w:ascii="宋体" w:hAnsi="宋体" w:cs="宋体" w:eastAsiaTheme="minorEastAsia"/>
                <w:kern w:val="0"/>
                <w:sz w:val="20"/>
                <w:lang w:val="en-US" w:eastAsia="zh-CN"/>
              </w:rPr>
            </w:pPr>
            <w:r>
              <w:rPr>
                <w:rFonts w:hint="eastAsia" w:ascii="宋体" w:hAnsi="宋体" w:cs="宋体"/>
                <w:kern w:val="0"/>
                <w:sz w:val="20"/>
                <w:lang w:val="en-US" w:eastAsia="zh-CN"/>
              </w:rPr>
              <w:t>16077.00</w:t>
            </w:r>
          </w:p>
        </w:tc>
        <w:tc>
          <w:tcPr>
            <w:tcW w:w="478" w:type="pct"/>
            <w:tcBorders>
              <w:top w:val="nil"/>
              <w:left w:val="nil"/>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rPr>
              <w:t>　</w:t>
            </w:r>
          </w:p>
        </w:tc>
        <w:tc>
          <w:tcPr>
            <w:tcW w:w="598"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　</w:t>
            </w:r>
          </w:p>
        </w:tc>
        <w:tc>
          <w:tcPr>
            <w:tcW w:w="804"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　</w:t>
            </w:r>
          </w:p>
        </w:tc>
        <w:tc>
          <w:tcPr>
            <w:tcW w:w="599" w:type="pct"/>
            <w:tcBorders>
              <w:top w:val="nil"/>
              <w:left w:val="nil"/>
              <w:bottom w:val="single" w:color="auto" w:sz="4" w:space="0"/>
              <w:right w:val="single" w:color="auto" w:sz="4" w:space="0"/>
            </w:tcBorders>
            <w:noWrap/>
            <w:vAlign w:val="center"/>
          </w:tcPr>
          <w:p>
            <w:pPr>
              <w:widowControl/>
              <w:jc w:val="center"/>
              <w:rPr>
                <w:rFonts w:ascii="宋体" w:hAnsi="宋体" w:cs="宋体"/>
                <w:kern w:val="0"/>
                <w:sz w:val="20"/>
              </w:rPr>
            </w:pPr>
            <w:r>
              <w:rPr>
                <w:rFonts w:hint="eastAsia" w:ascii="宋体" w:hAnsi="宋体" w:cs="宋体"/>
                <w:kern w:val="0"/>
                <w:sz w:val="20"/>
              </w:rPr>
              <w:t>　</w:t>
            </w:r>
          </w:p>
        </w:tc>
        <w:tc>
          <w:tcPr>
            <w:tcW w:w="596" w:type="pct"/>
            <w:tcBorders>
              <w:top w:val="nil"/>
              <w:left w:val="nil"/>
              <w:bottom w:val="single" w:color="auto" w:sz="4" w:space="0"/>
              <w:right w:val="single" w:color="auto" w:sz="4" w:space="0"/>
            </w:tcBorders>
            <w:noWrap/>
            <w:vAlign w:val="center"/>
          </w:tcPr>
          <w:p>
            <w:pPr>
              <w:widowControl/>
              <w:jc w:val="left"/>
              <w:rPr>
                <w:rFonts w:ascii="宋体" w:hAnsi="宋体" w:cs="宋体"/>
                <w:kern w:val="0"/>
                <w:sz w:val="20"/>
              </w:rPr>
            </w:pPr>
            <w:r>
              <w:rPr>
                <w:rFonts w:hint="eastAsia" w:ascii="宋体" w:hAnsi="宋体" w:cs="宋体"/>
                <w:kern w:val="0"/>
                <w:sz w:val="20"/>
              </w:rPr>
              <w:t>　</w:t>
            </w:r>
          </w:p>
        </w:tc>
      </w:tr>
    </w:tbl>
    <w:p>
      <w:pPr>
        <w:spacing w:line="360" w:lineRule="auto"/>
        <w:rPr>
          <w:rFonts w:ascii="宋体" w:hAnsi="宋体"/>
          <w:szCs w:val="21"/>
        </w:rPr>
      </w:pP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B5888"/>
    <w:rsid w:val="17AB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2022-04-24T08:46:00Z</dcterms:created>
  <dc:creator>圆滚滚</dc:creator>
  <cp:lastModifiedBy>圆滚滚</cp:lastModifiedBy>
  <dcterms:modified xsi:type="dcterms:W3CDTF">2022-04-24T08:46:56Z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12AB725494284331941EE8C3C7FD8F04</vt:lpwstr>
  </property>
  <property fmtid="{D5CDD505-2E9C-101B-9397-08002B2CF9AE}" pid="4" name="commondata">
    <vt:lpwstr>eyJoZGlkIjoiZDY3OTRiZGUzMWExMWUwMmFjYjhjNTE2ZDM3NGZjM2QifQ==</vt:lpwstr>
  </property>
</Properties>
</file>