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00" w:firstLineChars="200"/>
        <w:jc w:val="center"/>
        <w:rPr>
          <w:rFonts w:hint="eastAsia" w:eastAsia="微软雅黑" w:cs="Arial"/>
          <w:color w:val="000000"/>
          <w:sz w:val="30"/>
          <w:szCs w:val="30"/>
          <w:lang w:eastAsia="zh-CN"/>
        </w:rPr>
      </w:pPr>
      <w:r>
        <w:rPr>
          <w:rFonts w:hint="eastAsia" w:cs="Arial"/>
          <w:color w:val="000000"/>
          <w:sz w:val="30"/>
          <w:szCs w:val="30"/>
        </w:rPr>
        <w:t>纤维输尿管</w:t>
      </w:r>
      <w:r>
        <w:rPr>
          <w:rFonts w:hint="eastAsia" w:cs="Arial"/>
          <w:color w:val="000000"/>
          <w:sz w:val="30"/>
          <w:szCs w:val="30"/>
          <w:lang w:val="en-US" w:eastAsia="zh-CN"/>
        </w:rPr>
        <w:t>硬</w:t>
      </w:r>
      <w:r>
        <w:rPr>
          <w:rFonts w:hint="eastAsia" w:cs="Arial"/>
          <w:color w:val="000000"/>
          <w:sz w:val="30"/>
          <w:szCs w:val="30"/>
        </w:rPr>
        <w:t>镜</w:t>
      </w:r>
      <w:r>
        <w:rPr>
          <w:rFonts w:hint="eastAsia" w:cs="Arial"/>
          <w:color w:val="000000"/>
          <w:sz w:val="30"/>
          <w:szCs w:val="30"/>
          <w:lang w:val="en-US" w:eastAsia="zh-CN"/>
        </w:rPr>
        <w:t>等医疗设备</w:t>
      </w:r>
      <w:r>
        <w:rPr>
          <w:rFonts w:hint="eastAsia" w:cs="Arial"/>
          <w:color w:val="000000"/>
          <w:sz w:val="30"/>
          <w:szCs w:val="30"/>
        </w:rPr>
        <w:t>竞价谈判公告</w:t>
      </w:r>
    </w:p>
    <w:p>
      <w:pPr>
        <w:spacing w:line="360" w:lineRule="auto"/>
        <w:ind w:firstLine="480" w:firstLineChars="200"/>
        <w:rPr>
          <w:rFonts w:hint="eastAsia" w:cs="Arial"/>
          <w:color w:val="000000"/>
          <w:sz w:val="24"/>
        </w:rPr>
      </w:pPr>
      <w:r>
        <w:rPr>
          <w:rFonts w:hint="eastAsia" w:cs="Arial"/>
          <w:color w:val="000000"/>
          <w:sz w:val="24"/>
        </w:rPr>
        <w:t>根据国家相关法律法规的规定和《皖医二附院采购管理办法》，依照公开、公平、公正的原则，现对我院纤维输尿管</w:t>
      </w:r>
      <w:r>
        <w:rPr>
          <w:rFonts w:hint="eastAsia" w:cs="Arial"/>
          <w:color w:val="000000"/>
          <w:sz w:val="24"/>
          <w:lang w:val="en-US" w:eastAsia="zh-CN"/>
        </w:rPr>
        <w:t>硬</w:t>
      </w:r>
      <w:r>
        <w:rPr>
          <w:rFonts w:hint="eastAsia" w:cs="Arial"/>
          <w:color w:val="000000"/>
          <w:sz w:val="24"/>
        </w:rPr>
        <w:t>镜</w:t>
      </w:r>
      <w:r>
        <w:rPr>
          <w:rFonts w:hint="eastAsia" w:cs="Arial"/>
          <w:color w:val="000000"/>
          <w:sz w:val="24"/>
          <w:lang w:val="en-US" w:eastAsia="zh-CN"/>
        </w:rPr>
        <w:t>等医疗设备</w:t>
      </w:r>
      <w:r>
        <w:rPr>
          <w:rFonts w:hint="eastAsia" w:cs="Arial"/>
          <w:color w:val="000000"/>
          <w:sz w:val="24"/>
        </w:rPr>
        <w:t>拟采取竞价谈判的方式进行采购，欢迎符合条件的供应商报名参加投标。</w:t>
      </w:r>
    </w:p>
    <w:p>
      <w:pPr>
        <w:spacing w:line="360" w:lineRule="auto"/>
        <w:rPr>
          <w:rFonts w:cs="Arial"/>
          <w:color w:val="000000"/>
          <w:sz w:val="24"/>
        </w:rPr>
      </w:pPr>
      <w:r>
        <w:rPr>
          <w:rFonts w:hint="eastAsia" w:cs="Arial"/>
          <w:color w:val="000000"/>
          <w:sz w:val="24"/>
        </w:rPr>
        <w:t>一、谈判编号：2021-0</w:t>
      </w:r>
      <w:r>
        <w:rPr>
          <w:rFonts w:hint="eastAsia" w:cs="Arial"/>
          <w:color w:val="000000"/>
          <w:sz w:val="24"/>
          <w:lang w:val="en-US" w:eastAsia="zh-CN"/>
        </w:rPr>
        <w:t>86</w:t>
      </w:r>
      <w:r>
        <w:rPr>
          <w:rFonts w:hint="eastAsia" w:cs="Arial"/>
          <w:color w:val="000000"/>
          <w:sz w:val="24"/>
        </w:rPr>
        <w:t>；</w:t>
      </w:r>
    </w:p>
    <w:p>
      <w:pPr>
        <w:spacing w:line="360" w:lineRule="auto"/>
        <w:rPr>
          <w:rFonts w:cs="Arial"/>
          <w:color w:val="000000"/>
          <w:sz w:val="24"/>
        </w:rPr>
      </w:pPr>
      <w:r>
        <w:rPr>
          <w:rFonts w:hint="eastAsia" w:cs="Arial"/>
          <w:color w:val="000000"/>
          <w:sz w:val="24"/>
        </w:rPr>
        <w:t>二、采购内容：</w:t>
      </w:r>
    </w:p>
    <w:tbl>
      <w:tblPr>
        <w:tblStyle w:val="4"/>
        <w:tblW w:w="4804" w:type="pct"/>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5"/>
        <w:gridCol w:w="3347"/>
        <w:gridCol w:w="1850"/>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699" w:type="pct"/>
            <w:vAlign w:val="center"/>
          </w:tcPr>
          <w:p>
            <w:pPr>
              <w:spacing w:line="360" w:lineRule="auto"/>
              <w:jc w:val="center"/>
              <w:rPr>
                <w:rFonts w:cs="Arial"/>
                <w:color w:val="000000"/>
                <w:sz w:val="24"/>
              </w:rPr>
            </w:pPr>
            <w:r>
              <w:rPr>
                <w:rFonts w:hint="eastAsia" w:cs="Arial"/>
                <w:color w:val="000000"/>
                <w:sz w:val="24"/>
              </w:rPr>
              <w:t>包号</w:t>
            </w:r>
          </w:p>
        </w:tc>
        <w:tc>
          <w:tcPr>
            <w:tcW w:w="2043" w:type="pct"/>
            <w:vAlign w:val="center"/>
          </w:tcPr>
          <w:p>
            <w:pPr>
              <w:spacing w:line="360" w:lineRule="auto"/>
              <w:jc w:val="center"/>
              <w:rPr>
                <w:rFonts w:cs="Arial"/>
                <w:color w:val="000000"/>
                <w:sz w:val="24"/>
              </w:rPr>
            </w:pPr>
            <w:r>
              <w:rPr>
                <w:rFonts w:hint="eastAsia" w:cs="Arial"/>
                <w:color w:val="000000"/>
                <w:sz w:val="24"/>
              </w:rPr>
              <w:t>项目名称</w:t>
            </w:r>
          </w:p>
        </w:tc>
        <w:tc>
          <w:tcPr>
            <w:tcW w:w="1129" w:type="pct"/>
            <w:vAlign w:val="center"/>
          </w:tcPr>
          <w:p>
            <w:pPr>
              <w:jc w:val="center"/>
              <w:textAlignment w:val="center"/>
              <w:rPr>
                <w:rFonts w:cs="Arial"/>
                <w:color w:val="000000"/>
                <w:sz w:val="24"/>
              </w:rPr>
            </w:pPr>
            <w:r>
              <w:rPr>
                <w:rFonts w:hint="eastAsia" w:cs="Arial"/>
                <w:color w:val="000000"/>
                <w:sz w:val="24"/>
              </w:rPr>
              <w:t>数量</w:t>
            </w:r>
          </w:p>
        </w:tc>
        <w:tc>
          <w:tcPr>
            <w:tcW w:w="1127" w:type="pct"/>
            <w:vAlign w:val="center"/>
          </w:tcPr>
          <w:p>
            <w:pPr>
              <w:jc w:val="center"/>
              <w:textAlignment w:val="center"/>
              <w:rPr>
                <w:rFonts w:hint="eastAsia" w:cs="Arial"/>
                <w:color w:val="000000"/>
                <w:sz w:val="24"/>
              </w:rPr>
            </w:pPr>
            <w:r>
              <w:rPr>
                <w:rFonts w:hint="eastAsia" w:cs="Arial"/>
                <w:color w:val="000000"/>
                <w:sz w:val="24"/>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699" w:type="pct"/>
            <w:vAlign w:val="center"/>
          </w:tcPr>
          <w:p>
            <w:pPr>
              <w:jc w:val="center"/>
              <w:textAlignment w:val="center"/>
              <w:rPr>
                <w:rFonts w:hint="eastAsia" w:cs="Arial"/>
                <w:color w:val="000000"/>
                <w:sz w:val="24"/>
              </w:rPr>
            </w:pPr>
          </w:p>
          <w:p>
            <w:pPr>
              <w:jc w:val="center"/>
              <w:textAlignment w:val="center"/>
              <w:rPr>
                <w:rFonts w:cs="Arial"/>
                <w:color w:val="000000"/>
                <w:sz w:val="24"/>
              </w:rPr>
            </w:pPr>
            <w:r>
              <w:rPr>
                <w:rFonts w:hint="eastAsia" w:cs="Arial"/>
                <w:color w:val="000000"/>
                <w:sz w:val="24"/>
              </w:rPr>
              <w:t>01</w:t>
            </w:r>
          </w:p>
        </w:tc>
        <w:tc>
          <w:tcPr>
            <w:tcW w:w="2043" w:type="pct"/>
            <w:vAlign w:val="center"/>
          </w:tcPr>
          <w:p>
            <w:pPr>
              <w:jc w:val="center"/>
              <w:textAlignment w:val="center"/>
              <w:rPr>
                <w:rFonts w:hint="eastAsia" w:cs="Arial"/>
                <w:color w:val="000000"/>
                <w:sz w:val="24"/>
              </w:rPr>
            </w:pPr>
            <w:r>
              <w:rPr>
                <w:rFonts w:hint="eastAsia" w:cs="Arial"/>
                <w:color w:val="000000"/>
                <w:sz w:val="24"/>
              </w:rPr>
              <w:t>纤维输尿管</w:t>
            </w:r>
            <w:r>
              <w:rPr>
                <w:rFonts w:hint="eastAsia" w:cs="Arial"/>
                <w:color w:val="000000"/>
                <w:sz w:val="24"/>
                <w:lang w:val="en-US" w:eastAsia="zh-CN"/>
              </w:rPr>
              <w:t>硬</w:t>
            </w:r>
            <w:r>
              <w:rPr>
                <w:rFonts w:hint="eastAsia" w:cs="Arial"/>
                <w:color w:val="000000"/>
                <w:sz w:val="24"/>
              </w:rPr>
              <w:t>镜</w:t>
            </w:r>
          </w:p>
        </w:tc>
        <w:tc>
          <w:tcPr>
            <w:tcW w:w="1129" w:type="pct"/>
            <w:vAlign w:val="center"/>
          </w:tcPr>
          <w:p>
            <w:pPr>
              <w:jc w:val="center"/>
              <w:textAlignment w:val="center"/>
              <w:rPr>
                <w:rFonts w:hint="eastAsia" w:eastAsia="微软雅黑" w:cs="Arial"/>
                <w:color w:val="000000"/>
                <w:sz w:val="24"/>
                <w:lang w:val="en-US" w:eastAsia="zh-CN"/>
              </w:rPr>
            </w:pPr>
            <w:r>
              <w:rPr>
                <w:rFonts w:hint="eastAsia" w:cs="Arial"/>
                <w:color w:val="000000"/>
                <w:sz w:val="24"/>
              </w:rPr>
              <w:t>1</w:t>
            </w:r>
            <w:r>
              <w:rPr>
                <w:rFonts w:hint="eastAsia" w:cs="Arial"/>
                <w:color w:val="000000"/>
                <w:sz w:val="24"/>
                <w:lang w:val="en-US" w:eastAsia="zh-CN"/>
              </w:rPr>
              <w:t>根</w:t>
            </w:r>
          </w:p>
        </w:tc>
        <w:tc>
          <w:tcPr>
            <w:tcW w:w="1127" w:type="pct"/>
            <w:vMerge w:val="restart"/>
            <w:vAlign w:val="center"/>
          </w:tcPr>
          <w:p>
            <w:pPr>
              <w:jc w:val="center"/>
              <w:textAlignment w:val="center"/>
              <w:rPr>
                <w:rFonts w:hint="eastAsia" w:cs="Arial"/>
                <w:color w:val="000000"/>
                <w:sz w:val="24"/>
              </w:rPr>
            </w:pPr>
          </w:p>
          <w:p>
            <w:pPr>
              <w:jc w:val="center"/>
              <w:textAlignment w:val="center"/>
              <w:rPr>
                <w:rFonts w:hint="eastAsia" w:cs="Arial"/>
                <w:color w:val="000000"/>
                <w:sz w:val="24"/>
              </w:rPr>
            </w:pPr>
            <w:r>
              <w:rPr>
                <w:rFonts w:hint="eastAsia" w:cs="Arial"/>
                <w:color w:val="000000"/>
                <w:sz w:val="24"/>
              </w:rPr>
              <w:t>见附件4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99" w:type="pct"/>
            <w:vAlign w:val="center"/>
          </w:tcPr>
          <w:p>
            <w:pPr>
              <w:jc w:val="center"/>
              <w:textAlignment w:val="center"/>
              <w:rPr>
                <w:rFonts w:hint="default" w:eastAsia="微软雅黑" w:cs="Arial"/>
                <w:color w:val="000000"/>
                <w:sz w:val="24"/>
                <w:lang w:val="en-US" w:eastAsia="zh-CN"/>
              </w:rPr>
            </w:pPr>
            <w:r>
              <w:rPr>
                <w:rFonts w:hint="eastAsia" w:cs="Arial"/>
                <w:color w:val="000000"/>
                <w:sz w:val="24"/>
                <w:lang w:val="en-US" w:eastAsia="zh-CN"/>
              </w:rPr>
              <w:t>02</w:t>
            </w:r>
          </w:p>
        </w:tc>
        <w:tc>
          <w:tcPr>
            <w:tcW w:w="2043" w:type="pct"/>
            <w:vAlign w:val="center"/>
          </w:tcPr>
          <w:p>
            <w:pPr>
              <w:jc w:val="center"/>
              <w:textAlignment w:val="center"/>
              <w:rPr>
                <w:rFonts w:hint="eastAsia" w:cs="Arial"/>
                <w:color w:val="000000"/>
                <w:sz w:val="24"/>
              </w:rPr>
            </w:pPr>
            <w:r>
              <w:rPr>
                <w:rFonts w:hint="eastAsia" w:cs="Arial"/>
                <w:color w:val="000000"/>
                <w:sz w:val="24"/>
              </w:rPr>
              <w:t>经皮肾镜</w:t>
            </w:r>
          </w:p>
        </w:tc>
        <w:tc>
          <w:tcPr>
            <w:tcW w:w="1129" w:type="pct"/>
            <w:vAlign w:val="center"/>
          </w:tcPr>
          <w:p>
            <w:pPr>
              <w:jc w:val="center"/>
              <w:textAlignment w:val="center"/>
              <w:rPr>
                <w:rFonts w:hint="default" w:eastAsia="微软雅黑" w:cs="Arial"/>
                <w:color w:val="000000"/>
                <w:sz w:val="24"/>
                <w:lang w:val="en-US" w:eastAsia="zh-CN"/>
              </w:rPr>
            </w:pPr>
            <w:r>
              <w:rPr>
                <w:rFonts w:hint="eastAsia" w:cs="Arial"/>
                <w:color w:val="000000"/>
                <w:sz w:val="24"/>
                <w:lang w:val="en-US" w:eastAsia="zh-CN"/>
              </w:rPr>
              <w:t>1根</w:t>
            </w:r>
          </w:p>
        </w:tc>
        <w:tc>
          <w:tcPr>
            <w:tcW w:w="1127" w:type="pct"/>
            <w:vMerge w:val="continue"/>
            <w:tcBorders/>
            <w:vAlign w:val="center"/>
          </w:tcPr>
          <w:p>
            <w:pPr>
              <w:jc w:val="center"/>
              <w:textAlignment w:val="center"/>
              <w:rPr>
                <w:rFonts w:hint="eastAsia"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99" w:type="pct"/>
            <w:vAlign w:val="center"/>
          </w:tcPr>
          <w:p>
            <w:pPr>
              <w:jc w:val="center"/>
              <w:textAlignment w:val="center"/>
              <w:rPr>
                <w:rFonts w:hint="default" w:eastAsia="微软雅黑" w:cs="Arial"/>
                <w:color w:val="000000"/>
                <w:sz w:val="24"/>
                <w:lang w:val="en-US" w:eastAsia="zh-CN"/>
              </w:rPr>
            </w:pPr>
            <w:r>
              <w:rPr>
                <w:rFonts w:hint="eastAsia" w:cs="Arial"/>
                <w:color w:val="000000"/>
                <w:sz w:val="24"/>
                <w:lang w:val="en-US" w:eastAsia="zh-CN"/>
              </w:rPr>
              <w:t>03</w:t>
            </w:r>
          </w:p>
        </w:tc>
        <w:tc>
          <w:tcPr>
            <w:tcW w:w="2043" w:type="pct"/>
            <w:vAlign w:val="center"/>
          </w:tcPr>
          <w:p>
            <w:pPr>
              <w:jc w:val="center"/>
              <w:textAlignment w:val="center"/>
              <w:rPr>
                <w:rFonts w:hint="eastAsia" w:cs="Arial"/>
                <w:color w:val="000000"/>
                <w:sz w:val="24"/>
              </w:rPr>
            </w:pPr>
            <w:r>
              <w:rPr>
                <w:rFonts w:hint="eastAsia" w:cs="Arial"/>
                <w:color w:val="000000"/>
                <w:sz w:val="24"/>
              </w:rPr>
              <w:t>电子膀胱肾盂镜</w:t>
            </w:r>
          </w:p>
        </w:tc>
        <w:tc>
          <w:tcPr>
            <w:tcW w:w="1129" w:type="pct"/>
            <w:vAlign w:val="center"/>
          </w:tcPr>
          <w:p>
            <w:pPr>
              <w:jc w:val="center"/>
              <w:textAlignment w:val="center"/>
              <w:rPr>
                <w:rFonts w:hint="default" w:eastAsia="微软雅黑" w:cs="Arial"/>
                <w:color w:val="000000"/>
                <w:sz w:val="24"/>
                <w:lang w:val="en-US" w:eastAsia="zh-CN"/>
              </w:rPr>
            </w:pPr>
            <w:r>
              <w:rPr>
                <w:rFonts w:hint="eastAsia" w:cs="Arial"/>
                <w:color w:val="000000"/>
                <w:sz w:val="24"/>
                <w:lang w:val="en-US" w:eastAsia="zh-CN"/>
              </w:rPr>
              <w:t>5根</w:t>
            </w:r>
          </w:p>
        </w:tc>
        <w:tc>
          <w:tcPr>
            <w:tcW w:w="1127" w:type="pct"/>
            <w:vMerge w:val="continue"/>
            <w:tcBorders/>
            <w:vAlign w:val="center"/>
          </w:tcPr>
          <w:p>
            <w:pPr>
              <w:jc w:val="center"/>
              <w:textAlignment w:val="center"/>
              <w:rPr>
                <w:rFonts w:hint="eastAsia" w:cs="Arial"/>
                <w:color w:val="000000"/>
                <w:sz w:val="24"/>
              </w:rPr>
            </w:pPr>
          </w:p>
        </w:tc>
      </w:tr>
    </w:tbl>
    <w:p>
      <w:pPr>
        <w:spacing w:line="360" w:lineRule="auto"/>
        <w:rPr>
          <w:rFonts w:cs="Arial"/>
          <w:color w:val="000000"/>
          <w:sz w:val="24"/>
        </w:rPr>
      </w:pPr>
      <w:r>
        <w:rPr>
          <w:rFonts w:hint="eastAsia" w:cs="Arial"/>
          <w:color w:val="000000"/>
          <w:sz w:val="24"/>
        </w:rPr>
        <w:t>三、谈判响应方的资格要求：</w:t>
      </w:r>
    </w:p>
    <w:p>
      <w:pPr>
        <w:spacing w:line="360" w:lineRule="auto"/>
        <w:rPr>
          <w:rFonts w:ascii="宋体" w:hAnsi="宋体"/>
          <w:sz w:val="24"/>
        </w:rPr>
      </w:pPr>
      <w:r>
        <w:rPr>
          <w:rFonts w:ascii="宋体" w:hAnsi="宋体"/>
          <w:sz w:val="24"/>
        </w:rPr>
        <w:t>1</w:t>
      </w:r>
      <w:r>
        <w:rPr>
          <w:rFonts w:hint="eastAsia" w:ascii="宋体" w:hAnsi="宋体"/>
          <w:sz w:val="24"/>
        </w:rPr>
        <w:t>.</w:t>
      </w:r>
      <w:r>
        <w:rPr>
          <w:rFonts w:hint="eastAsia" w:ascii="宋体" w:hAnsi="宋体" w:cs="宋体"/>
          <w:bCs/>
          <w:color w:val="000000"/>
          <w:sz w:val="24"/>
        </w:rPr>
        <w:t>是依据中华人民共和国法律设立的，具有独立法人资格，具备有效的营业执照、税务登记证、组织机构代码证（</w:t>
      </w:r>
      <w:r>
        <w:rPr>
          <w:rFonts w:hint="eastAsia" w:ascii="宋体" w:hAnsi="宋体"/>
          <w:sz w:val="24"/>
        </w:rPr>
        <w:t>或统一社会信用代码的营业执照</w:t>
      </w:r>
      <w:r>
        <w:rPr>
          <w:rFonts w:hint="eastAsia" w:ascii="宋体" w:hAnsi="宋体" w:cs="宋体"/>
          <w:bCs/>
          <w:color w:val="000000"/>
          <w:sz w:val="24"/>
        </w:rPr>
        <w:t>）</w:t>
      </w:r>
      <w:r>
        <w:rPr>
          <w:rFonts w:hint="eastAsia" w:ascii="宋体" w:hAnsi="宋体"/>
          <w:sz w:val="24"/>
        </w:rPr>
        <w:t>；</w:t>
      </w:r>
    </w:p>
    <w:p>
      <w:pPr>
        <w:spacing w:line="360" w:lineRule="auto"/>
        <w:rPr>
          <w:rFonts w:cs="Arial"/>
          <w:color w:val="000000"/>
          <w:sz w:val="24"/>
        </w:rPr>
      </w:pPr>
      <w:r>
        <w:rPr>
          <w:rFonts w:hint="eastAsia" w:cs="Arial"/>
          <w:color w:val="000000"/>
          <w:sz w:val="24"/>
        </w:rPr>
        <w:t>2.谈判响应方若为制造商，须具有针对所投产品有效的医疗器械生产许可证（二类、三类）或第一类医疗器械生产备案凭证（一类）；</w:t>
      </w:r>
    </w:p>
    <w:p>
      <w:pPr>
        <w:spacing w:line="360" w:lineRule="auto"/>
        <w:rPr>
          <w:rFonts w:cs="Arial"/>
          <w:color w:val="000000"/>
          <w:sz w:val="24"/>
        </w:rPr>
      </w:pPr>
      <w:r>
        <w:rPr>
          <w:rFonts w:hint="eastAsia" w:cs="Arial"/>
          <w:color w:val="000000"/>
          <w:sz w:val="24"/>
        </w:rPr>
        <w:t>3.谈判响应方若为代理商，须具有有效的医疗器械经营许可证（三类）或有效的第二类医疗器械经营备案凭证（二类），一类医疗器械可以不提供本项；</w:t>
      </w:r>
    </w:p>
    <w:p>
      <w:pPr>
        <w:spacing w:line="360" w:lineRule="auto"/>
        <w:rPr>
          <w:rFonts w:ascii="宋体" w:hAnsi="宋体" w:cs="宋体"/>
          <w:bCs/>
          <w:sz w:val="24"/>
        </w:rPr>
      </w:pPr>
      <w:r>
        <w:rPr>
          <w:rFonts w:hint="eastAsia" w:cs="Arial"/>
          <w:color w:val="000000"/>
          <w:sz w:val="24"/>
        </w:rPr>
        <w:t>4.谈判响应方须针对</w:t>
      </w:r>
      <w:r>
        <w:rPr>
          <w:rFonts w:hint="eastAsia" w:ascii="宋体" w:hAnsi="宋体" w:cs="宋体"/>
          <w:bCs/>
          <w:sz w:val="24"/>
        </w:rPr>
        <w:t>所投产品有效的医疗器械注册证（二类、三类）或</w:t>
      </w:r>
      <w:r>
        <w:rPr>
          <w:rFonts w:hint="eastAsia" w:cs="Arial"/>
          <w:color w:val="000000"/>
          <w:sz w:val="24"/>
        </w:rPr>
        <w:t>第一类</w:t>
      </w:r>
      <w:r>
        <w:rPr>
          <w:rFonts w:hint="eastAsia" w:ascii="宋体" w:hAnsi="宋体" w:cs="宋体"/>
          <w:bCs/>
          <w:sz w:val="24"/>
        </w:rPr>
        <w:t>医疗器械备案凭证（一类）；</w:t>
      </w:r>
    </w:p>
    <w:p>
      <w:pPr>
        <w:spacing w:beforeLines="40" w:afterLines="40" w:line="360" w:lineRule="auto"/>
        <w:rPr>
          <w:rFonts w:ascii="宋体" w:hAnsi="宋体" w:cs="宋体"/>
          <w:bCs/>
          <w:color w:val="000000"/>
          <w:sz w:val="24"/>
        </w:rPr>
      </w:pPr>
      <w:r>
        <w:rPr>
          <w:rFonts w:hint="eastAsia" w:ascii="宋体" w:hAnsi="宋体" w:cs="宋体"/>
          <w:bCs/>
          <w:color w:val="000000"/>
          <w:sz w:val="24"/>
        </w:rPr>
        <w:t>5.谈判响应方不得存在以下不良信用记录情形之一：</w:t>
      </w:r>
    </w:p>
    <w:p>
      <w:pPr>
        <w:spacing w:beforeLines="40" w:afterLines="40" w:line="360" w:lineRule="auto"/>
        <w:rPr>
          <w:rFonts w:ascii="宋体" w:hAnsi="宋体" w:cs="宋体"/>
          <w:bCs/>
          <w:color w:val="000000"/>
          <w:sz w:val="24"/>
        </w:rPr>
      </w:pPr>
      <w:r>
        <w:rPr>
          <w:rFonts w:hint="eastAsia" w:ascii="宋体" w:hAnsi="宋体" w:cs="宋体"/>
          <w:bCs/>
          <w:color w:val="000000"/>
          <w:sz w:val="24"/>
        </w:rPr>
        <w:t>（1）谈判响应方被人民法院列入失信被执行人；</w:t>
      </w:r>
    </w:p>
    <w:p>
      <w:pPr>
        <w:spacing w:beforeLines="40" w:afterLines="40" w:line="360" w:lineRule="auto"/>
        <w:rPr>
          <w:rFonts w:ascii="宋体" w:hAnsi="宋体" w:cs="宋体"/>
          <w:bCs/>
          <w:color w:val="000000"/>
          <w:sz w:val="24"/>
        </w:rPr>
      </w:pPr>
      <w:r>
        <w:rPr>
          <w:rFonts w:hint="eastAsia" w:ascii="宋体" w:hAnsi="宋体" w:cs="宋体"/>
          <w:bCs/>
          <w:color w:val="000000"/>
          <w:sz w:val="24"/>
        </w:rPr>
        <w:t>（2）谈判响应方被市场监督管理部门列入企业经营异常名录且未被移除；</w:t>
      </w:r>
    </w:p>
    <w:p>
      <w:pPr>
        <w:spacing w:beforeLines="40" w:afterLines="40" w:line="360" w:lineRule="auto"/>
        <w:rPr>
          <w:rFonts w:ascii="宋体" w:hAnsi="宋体" w:cs="宋体"/>
          <w:bCs/>
          <w:color w:val="000000"/>
          <w:sz w:val="24"/>
        </w:rPr>
      </w:pPr>
      <w:r>
        <w:rPr>
          <w:rFonts w:hint="eastAsia" w:ascii="宋体" w:hAnsi="宋体" w:cs="宋体"/>
          <w:bCs/>
          <w:color w:val="000000"/>
          <w:sz w:val="24"/>
        </w:rPr>
        <w:t>（3）谈判响应方被税务部门列入重大税收违法案件当事人名单；</w:t>
      </w:r>
    </w:p>
    <w:p>
      <w:pPr>
        <w:spacing w:beforeLines="40" w:afterLines="40" w:line="360" w:lineRule="auto"/>
        <w:rPr>
          <w:rFonts w:ascii="宋体" w:hAnsi="宋体" w:cs="宋体"/>
          <w:bCs/>
          <w:color w:val="000000"/>
          <w:sz w:val="24"/>
        </w:rPr>
      </w:pPr>
      <w:r>
        <w:rPr>
          <w:rFonts w:hint="eastAsia" w:ascii="宋体" w:hAnsi="宋体" w:cs="宋体"/>
          <w:bCs/>
          <w:color w:val="000000"/>
          <w:sz w:val="24"/>
        </w:rPr>
        <w:t>（4）近三年内（2018年</w:t>
      </w:r>
      <w:r>
        <w:rPr>
          <w:rFonts w:hint="eastAsia" w:ascii="宋体" w:hAnsi="宋体" w:cs="宋体"/>
          <w:bCs/>
          <w:color w:val="000000"/>
          <w:sz w:val="24"/>
          <w:lang w:val="en-US" w:eastAsia="zh-CN"/>
        </w:rPr>
        <w:t>8</w:t>
      </w:r>
      <w:r>
        <w:rPr>
          <w:rFonts w:hint="eastAsia" w:ascii="宋体" w:hAnsi="宋体" w:cs="宋体"/>
          <w:bCs/>
          <w:color w:val="000000"/>
          <w:sz w:val="24"/>
        </w:rPr>
        <w:t>月1日至今）谈判响应方或其法定代表人被人民法院判处行贿罪或被人民检察院/中华人民共和国国家</w:t>
      </w:r>
      <w:r>
        <w:rPr>
          <w:rFonts w:ascii="宋体" w:hAnsi="宋体" w:cs="宋体"/>
          <w:bCs/>
          <w:color w:val="000000"/>
          <w:sz w:val="24"/>
        </w:rPr>
        <w:t>监察委员会</w:t>
      </w:r>
      <w:r>
        <w:rPr>
          <w:rFonts w:hint="eastAsia" w:ascii="宋体" w:hAnsi="宋体" w:cs="宋体"/>
          <w:bCs/>
          <w:color w:val="000000"/>
          <w:sz w:val="24"/>
        </w:rPr>
        <w:t>列入行贿犯罪档案的。</w:t>
      </w:r>
    </w:p>
    <w:p>
      <w:pPr>
        <w:spacing w:beforeLines="40" w:afterLines="40" w:line="360" w:lineRule="auto"/>
        <w:rPr>
          <w:rFonts w:ascii="宋体" w:hAnsi="宋体" w:cs="宋体"/>
          <w:bCs/>
          <w:color w:val="000000"/>
          <w:sz w:val="24"/>
        </w:rPr>
      </w:pPr>
      <w:r>
        <w:rPr>
          <w:rFonts w:hint="eastAsia" w:ascii="宋体" w:hAnsi="宋体" w:cs="宋体"/>
          <w:bCs/>
          <w:color w:val="000000"/>
          <w:sz w:val="24"/>
        </w:rPr>
        <w:t>6.本项目不接受联合体投标；</w:t>
      </w:r>
    </w:p>
    <w:p>
      <w:pPr>
        <w:spacing w:line="360" w:lineRule="auto"/>
        <w:rPr>
          <w:rFonts w:hint="eastAsia" w:ascii="宋体" w:hAnsi="宋体" w:eastAsia="微软雅黑"/>
          <w:sz w:val="24"/>
          <w:lang w:eastAsia="zh-CN"/>
        </w:rPr>
      </w:pPr>
      <w:r>
        <w:rPr>
          <w:rFonts w:hint="eastAsia" w:ascii="宋体" w:hAnsi="宋体"/>
          <w:sz w:val="24"/>
        </w:rPr>
        <w:t>7.单位负责人为同一人或者存在直接控股、管理关系的谈判响应方，不得参加同一合同下的采购活动。</w:t>
      </w:r>
    </w:p>
    <w:p>
      <w:pPr>
        <w:spacing w:line="360" w:lineRule="auto"/>
        <w:rPr>
          <w:rFonts w:cs="Arial"/>
          <w:color w:val="000000"/>
          <w:sz w:val="24"/>
        </w:rPr>
      </w:pPr>
      <w:r>
        <w:rPr>
          <w:rFonts w:hint="eastAsia" w:cs="Arial"/>
          <w:color w:val="000000"/>
          <w:sz w:val="24"/>
        </w:rPr>
        <w:t>四、报名材料（凡报名参加谈判的单位须携带下述资料复印件一份，每一页资料须加盖单位公章并装订成册办理投标报名手续，制造商的资质及其相关资料须加盖制造商公章，只接受现场报名或顺丰邮寄）：</w:t>
      </w:r>
    </w:p>
    <w:p>
      <w:pPr>
        <w:spacing w:line="360" w:lineRule="auto"/>
        <w:rPr>
          <w:rFonts w:cs="Arial"/>
          <w:color w:val="000000"/>
          <w:sz w:val="24"/>
        </w:rPr>
      </w:pPr>
      <w:r>
        <w:rPr>
          <w:rFonts w:hint="eastAsia" w:cs="Arial"/>
          <w:color w:val="000000"/>
          <w:sz w:val="24"/>
        </w:rPr>
        <w:t>1.采购项目报名申请表（见附件1）；</w:t>
      </w:r>
    </w:p>
    <w:p>
      <w:pPr>
        <w:spacing w:line="360" w:lineRule="auto"/>
        <w:rPr>
          <w:rFonts w:cs="Arial"/>
          <w:color w:val="000000"/>
          <w:sz w:val="24"/>
        </w:rPr>
      </w:pPr>
      <w:r>
        <w:rPr>
          <w:rFonts w:hint="eastAsia" w:cs="Arial"/>
          <w:color w:val="000000"/>
          <w:sz w:val="24"/>
        </w:rPr>
        <w:t>2.法定代表人授权书原件（见附件2）；</w:t>
      </w:r>
    </w:p>
    <w:p>
      <w:pPr>
        <w:spacing w:line="360" w:lineRule="auto"/>
        <w:rPr>
          <w:rFonts w:cs="Arial"/>
          <w:color w:val="000000"/>
          <w:sz w:val="24"/>
        </w:rPr>
      </w:pPr>
      <w:r>
        <w:rPr>
          <w:rFonts w:hint="eastAsia" w:cs="Arial"/>
          <w:color w:val="000000"/>
          <w:sz w:val="24"/>
        </w:rPr>
        <w:t>3.被授权人身份证复印件（原件备查）；</w:t>
      </w:r>
    </w:p>
    <w:p>
      <w:pPr>
        <w:spacing w:line="360" w:lineRule="auto"/>
        <w:rPr>
          <w:rFonts w:cs="Arial"/>
          <w:color w:val="000000"/>
          <w:sz w:val="24"/>
        </w:rPr>
      </w:pPr>
      <w:r>
        <w:rPr>
          <w:rFonts w:hint="eastAsia" w:cs="Arial"/>
          <w:color w:val="000000"/>
          <w:sz w:val="24"/>
        </w:rPr>
        <w:t>4.谈判响应方提供有效的企业法人《营业执照》、《组织结构代码证》、《税务登记证》（或统一社会信用代码的营业执照）；</w:t>
      </w:r>
    </w:p>
    <w:p>
      <w:pPr>
        <w:spacing w:line="360" w:lineRule="auto"/>
        <w:rPr>
          <w:rFonts w:cs="Arial"/>
          <w:color w:val="000000"/>
          <w:sz w:val="24"/>
        </w:rPr>
      </w:pPr>
      <w:r>
        <w:rPr>
          <w:rFonts w:hint="eastAsia" w:cs="Arial"/>
          <w:color w:val="000000"/>
          <w:sz w:val="24"/>
        </w:rPr>
        <w:t>5.谈判响应方若为制造商，须具有有效的医疗器械生产许可证（或第一类医疗器械生产备案凭证）；</w:t>
      </w:r>
    </w:p>
    <w:p>
      <w:pPr>
        <w:spacing w:line="360" w:lineRule="auto"/>
        <w:rPr>
          <w:rFonts w:cs="Arial"/>
          <w:color w:val="000000"/>
          <w:sz w:val="24"/>
        </w:rPr>
      </w:pPr>
      <w:r>
        <w:rPr>
          <w:rFonts w:hint="eastAsia" w:cs="Arial"/>
          <w:color w:val="000000"/>
          <w:sz w:val="24"/>
        </w:rPr>
        <w:t>6.谈判响应方若为代理商，应提供有效的医疗器械经营许可证（或第二类医疗器械经营备案凭证，一类医疗器械可不提供本项）、制造商企业法人营业执照、制造商税务登记证、制造商组织机构代码证（或三证合一）、制造商医疗器械生产许可证（或第一类医疗器械生产备案凭证）；</w:t>
      </w:r>
    </w:p>
    <w:p>
      <w:pPr>
        <w:spacing w:line="360" w:lineRule="auto"/>
        <w:rPr>
          <w:rFonts w:hint="eastAsia" w:eastAsia="微软雅黑" w:cs="Arial"/>
          <w:color w:val="000000"/>
          <w:sz w:val="24"/>
          <w:lang w:eastAsia="zh-CN"/>
        </w:rPr>
      </w:pPr>
      <w:r>
        <w:rPr>
          <w:rFonts w:hint="eastAsia" w:cs="Arial"/>
          <w:color w:val="000000"/>
          <w:sz w:val="24"/>
        </w:rPr>
        <w:t>7.谈判响应方所投产品有效的中华人民共和国医疗器械注册证（或第一类医疗器械备案凭证）；</w:t>
      </w:r>
    </w:p>
    <w:p>
      <w:pPr>
        <w:spacing w:line="360" w:lineRule="auto"/>
        <w:rPr>
          <w:rFonts w:cs="Arial"/>
          <w:color w:val="000000"/>
          <w:sz w:val="24"/>
        </w:rPr>
      </w:pPr>
      <w:r>
        <w:rPr>
          <w:rFonts w:hint="eastAsia" w:cs="Arial"/>
          <w:color w:val="000000"/>
          <w:sz w:val="24"/>
        </w:rPr>
        <w:t>9.谈判响应方须提供以下截图证明及承诺书原件（见附件3）：</w:t>
      </w:r>
    </w:p>
    <w:p>
      <w:pPr>
        <w:spacing w:beforeLines="40" w:afterLines="40" w:line="360" w:lineRule="auto"/>
        <w:rPr>
          <w:rFonts w:cs="Arial"/>
          <w:color w:val="000000"/>
          <w:sz w:val="24"/>
        </w:rPr>
      </w:pPr>
      <w:r>
        <w:rPr>
          <w:rFonts w:hint="eastAsia" w:cs="Arial"/>
          <w:color w:val="000000"/>
          <w:sz w:val="24"/>
        </w:rPr>
        <w:t>（1）谈判响应方未被人民法院列入失信被执行人的（以信用中国</w:t>
      </w:r>
      <w:r>
        <w:rPr>
          <w:rFonts w:cs="Arial"/>
          <w:color w:val="000000"/>
          <w:sz w:val="24"/>
        </w:rPr>
        <w:t>www.creditchina.gov.cn</w:t>
      </w:r>
      <w:r>
        <w:rPr>
          <w:rFonts w:hint="eastAsia" w:cs="Arial"/>
          <w:color w:val="000000"/>
          <w:sz w:val="24"/>
        </w:rPr>
        <w:t>、查询结果为准，谈判响应方须提供相关截图证明）。</w:t>
      </w:r>
    </w:p>
    <w:p>
      <w:pPr>
        <w:spacing w:beforeLines="40" w:afterLines="40" w:line="360" w:lineRule="auto"/>
        <w:rPr>
          <w:rFonts w:cs="Arial"/>
          <w:color w:val="000000"/>
          <w:sz w:val="24"/>
        </w:rPr>
      </w:pPr>
      <w:r>
        <w:rPr>
          <w:rFonts w:hint="eastAsia" w:cs="Arial"/>
          <w:color w:val="000000"/>
          <w:sz w:val="24"/>
        </w:rPr>
        <w:t>（2）谈判响应方未被市场监督管理部门列入企业经营异常名录且未被移除的（以国家企业信用信息公示系统http://www.gsxt.gov.cn/index.html查询结果为准，谈判响应方须提供相关截图证明）。</w:t>
      </w:r>
    </w:p>
    <w:p>
      <w:pPr>
        <w:spacing w:beforeLines="40" w:afterLines="40" w:line="360" w:lineRule="auto"/>
        <w:rPr>
          <w:rFonts w:cs="Arial"/>
          <w:color w:val="000000"/>
          <w:sz w:val="24"/>
        </w:rPr>
      </w:pPr>
      <w:r>
        <w:rPr>
          <w:rFonts w:hint="eastAsia" w:cs="Arial"/>
          <w:color w:val="000000"/>
          <w:sz w:val="24"/>
        </w:rPr>
        <w:t>（3）谈判响应方未被税务部门列入重大税收违法案件当事人名单的（以信用中国网</w:t>
      </w:r>
      <w:r>
        <w:rPr>
          <w:rFonts w:cs="Arial"/>
          <w:color w:val="000000"/>
          <w:sz w:val="24"/>
        </w:rPr>
        <w:t>www.creditchina.gov.cn</w:t>
      </w:r>
      <w:r>
        <w:rPr>
          <w:rFonts w:hint="eastAsia" w:cs="Arial"/>
          <w:color w:val="000000"/>
          <w:sz w:val="24"/>
        </w:rPr>
        <w:t>查询结果为准，谈判响应方须提供相关截图证明）。</w:t>
      </w:r>
    </w:p>
    <w:p>
      <w:pPr>
        <w:spacing w:line="360" w:lineRule="auto"/>
        <w:rPr>
          <w:rFonts w:cs="Arial"/>
          <w:color w:val="000000"/>
          <w:sz w:val="24"/>
        </w:rPr>
      </w:pPr>
      <w:r>
        <w:rPr>
          <w:rFonts w:hint="eastAsia" w:cs="Arial"/>
          <w:color w:val="000000"/>
          <w:sz w:val="24"/>
        </w:rPr>
        <w:t>（4）近三年内（2018年</w:t>
      </w:r>
      <w:r>
        <w:rPr>
          <w:rFonts w:hint="eastAsia" w:cs="Arial"/>
          <w:color w:val="000000"/>
          <w:sz w:val="24"/>
          <w:lang w:val="en-US" w:eastAsia="zh-CN"/>
        </w:rPr>
        <w:t>8</w:t>
      </w:r>
      <w:r>
        <w:rPr>
          <w:rFonts w:hint="eastAsia" w:cs="Arial"/>
          <w:color w:val="000000"/>
          <w:sz w:val="24"/>
        </w:rPr>
        <w:t>月1日至今）谈判响应方或其法定代表人未被人民法院判处行贿罪或被人民检察院/中华人民共和国国家</w:t>
      </w:r>
      <w:r>
        <w:rPr>
          <w:rFonts w:cs="Arial"/>
          <w:color w:val="000000"/>
          <w:sz w:val="24"/>
        </w:rPr>
        <w:t>监察委员会</w:t>
      </w:r>
      <w:r>
        <w:rPr>
          <w:rFonts w:hint="eastAsia" w:cs="Arial"/>
          <w:color w:val="000000"/>
          <w:sz w:val="24"/>
        </w:rPr>
        <w:t>列入行贿犯罪档案的（谈判响应方须自行承诺并加盖公章，承诺书内容及格式自拟）。</w:t>
      </w:r>
    </w:p>
    <w:p>
      <w:pPr>
        <w:spacing w:line="360" w:lineRule="auto"/>
        <w:rPr>
          <w:rFonts w:cs="Arial"/>
          <w:color w:val="000000"/>
          <w:sz w:val="24"/>
        </w:rPr>
      </w:pPr>
      <w:r>
        <w:rPr>
          <w:rFonts w:hint="eastAsia" w:cs="Arial"/>
          <w:color w:val="000000"/>
          <w:sz w:val="24"/>
        </w:rPr>
        <w:t>五、报名时间及地点：</w:t>
      </w:r>
    </w:p>
    <w:p>
      <w:pPr>
        <w:spacing w:line="360" w:lineRule="auto"/>
        <w:rPr>
          <w:rFonts w:cs="Arial"/>
          <w:color w:val="000000"/>
          <w:sz w:val="24"/>
        </w:rPr>
      </w:pPr>
      <w:r>
        <w:rPr>
          <w:rFonts w:hint="eastAsia" w:cs="Arial"/>
          <w:color w:val="000000"/>
          <w:sz w:val="24"/>
        </w:rPr>
        <w:t>2021年</w:t>
      </w:r>
      <w:r>
        <w:rPr>
          <w:rFonts w:hint="eastAsia" w:cs="Arial"/>
          <w:color w:val="000000"/>
          <w:sz w:val="24"/>
          <w:lang w:val="en-US" w:eastAsia="zh-CN"/>
        </w:rPr>
        <w:t>8</w:t>
      </w:r>
      <w:r>
        <w:rPr>
          <w:rFonts w:hint="eastAsia" w:cs="Arial"/>
          <w:color w:val="000000"/>
          <w:sz w:val="24"/>
        </w:rPr>
        <w:t>月</w:t>
      </w:r>
      <w:r>
        <w:rPr>
          <w:rFonts w:hint="eastAsia" w:cs="Arial"/>
          <w:color w:val="000000"/>
          <w:sz w:val="24"/>
          <w:lang w:val="en-US" w:eastAsia="zh-CN"/>
        </w:rPr>
        <w:t>18</w:t>
      </w:r>
      <w:r>
        <w:rPr>
          <w:rFonts w:hint="eastAsia" w:cs="Arial"/>
          <w:color w:val="000000"/>
          <w:sz w:val="24"/>
        </w:rPr>
        <w:t>日至2021年</w:t>
      </w:r>
      <w:r>
        <w:rPr>
          <w:rFonts w:hint="eastAsia" w:cs="Arial"/>
          <w:color w:val="000000"/>
          <w:sz w:val="24"/>
          <w:lang w:val="en-US" w:eastAsia="zh-CN"/>
        </w:rPr>
        <w:t>8</w:t>
      </w:r>
      <w:r>
        <w:rPr>
          <w:rFonts w:hint="eastAsia" w:cs="Arial"/>
          <w:color w:val="000000"/>
          <w:sz w:val="24"/>
        </w:rPr>
        <w:t>月</w:t>
      </w:r>
      <w:r>
        <w:rPr>
          <w:rFonts w:hint="eastAsia" w:cs="Arial"/>
          <w:color w:val="000000"/>
          <w:sz w:val="24"/>
          <w:lang w:val="en-US" w:eastAsia="zh-CN"/>
        </w:rPr>
        <w:t>24</w:t>
      </w:r>
      <w:r>
        <w:rPr>
          <w:rFonts w:hint="eastAsia" w:cs="Arial"/>
          <w:color w:val="000000"/>
          <w:sz w:val="24"/>
        </w:rPr>
        <w:t>日止，上午8：00-11：30、下午14：</w:t>
      </w:r>
      <w:r>
        <w:rPr>
          <w:rFonts w:hint="eastAsia" w:cs="Arial"/>
          <w:color w:val="000000"/>
          <w:sz w:val="24"/>
          <w:lang w:val="en-US" w:eastAsia="zh-CN"/>
        </w:rPr>
        <w:t>3</w:t>
      </w:r>
      <w:r>
        <w:rPr>
          <w:rFonts w:hint="eastAsia" w:cs="Arial"/>
          <w:color w:val="000000"/>
          <w:sz w:val="24"/>
        </w:rPr>
        <w:t>0-17：30（双休日及法定节假日除外），皖南医学院第二附属医院3号楼8楼国资科招投标办公室。</w:t>
      </w:r>
    </w:p>
    <w:p>
      <w:pPr>
        <w:spacing w:line="360" w:lineRule="auto"/>
        <w:rPr>
          <w:rFonts w:cs="Arial"/>
          <w:color w:val="000000"/>
          <w:sz w:val="24"/>
        </w:rPr>
      </w:pPr>
      <w:r>
        <w:rPr>
          <w:rFonts w:hint="eastAsia" w:cs="Arial"/>
          <w:color w:val="000000"/>
          <w:sz w:val="24"/>
        </w:rPr>
        <w:t>六、报名联系人：</w:t>
      </w:r>
      <w:r>
        <w:rPr>
          <w:rFonts w:hint="eastAsia" w:cs="Arial"/>
          <w:color w:val="000000"/>
          <w:sz w:val="24"/>
          <w:lang w:val="en-US" w:eastAsia="zh-CN"/>
        </w:rPr>
        <w:t>沈</w:t>
      </w:r>
      <w:bookmarkStart w:id="0" w:name="_GoBack"/>
      <w:bookmarkEnd w:id="0"/>
      <w:r>
        <w:rPr>
          <w:rFonts w:hint="eastAsia" w:cs="Arial"/>
          <w:color w:val="000000"/>
          <w:sz w:val="24"/>
        </w:rPr>
        <w:t>老师，联系电话：0553-2871845。</w:t>
      </w:r>
    </w:p>
    <w:p>
      <w:pPr>
        <w:spacing w:line="360" w:lineRule="auto"/>
        <w:rPr>
          <w:rFonts w:cs="Arial"/>
          <w:color w:val="000000"/>
          <w:sz w:val="24"/>
        </w:rPr>
      </w:pPr>
      <w:r>
        <w:rPr>
          <w:rFonts w:hint="eastAsia" w:cs="Arial"/>
          <w:color w:val="000000"/>
          <w:sz w:val="24"/>
        </w:rPr>
        <w:t>七、谈判时间及地点：报名审核通过后，另行通知。</w:t>
      </w:r>
    </w:p>
    <w:p>
      <w:pPr>
        <w:spacing w:line="360" w:lineRule="auto"/>
        <w:rPr>
          <w:rFonts w:cs="Arial"/>
          <w:color w:val="000000"/>
          <w:sz w:val="24"/>
        </w:rPr>
      </w:pPr>
      <w:r>
        <w:rPr>
          <w:rFonts w:hint="eastAsia" w:cs="Arial"/>
          <w:color w:val="000000"/>
          <w:sz w:val="24"/>
        </w:rPr>
        <w:t>八、谈判文件获取：报名审核通过后，发送电子版谈判文件。</w:t>
      </w:r>
    </w:p>
    <w:p>
      <w:pPr>
        <w:jc w:val="center"/>
        <w:rPr>
          <w:rFonts w:hint="eastAsia" w:ascii="仿宋_GB2312" w:hAnsi="宋体" w:eastAsia="仿宋_GB2312"/>
          <w:b/>
          <w:bCs/>
          <w:spacing w:val="-2"/>
          <w:sz w:val="44"/>
          <w:szCs w:val="44"/>
        </w:rPr>
      </w:pP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A28CE"/>
    <w:rsid w:val="003D37D8"/>
    <w:rsid w:val="00426133"/>
    <w:rsid w:val="004358AB"/>
    <w:rsid w:val="004A3B8E"/>
    <w:rsid w:val="008B7726"/>
    <w:rsid w:val="00D31D50"/>
    <w:rsid w:val="00DC5025"/>
    <w:rsid w:val="14DF3E9A"/>
    <w:rsid w:val="3D4C0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256</Words>
  <Characters>1460</Characters>
  <Lines>12</Lines>
  <Paragraphs>3</Paragraphs>
  <TotalTime>3</TotalTime>
  <ScaleCrop>false</ScaleCrop>
  <LinksUpToDate>false</LinksUpToDate>
  <CharactersWithSpaces>1713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gzk-sry</dc:creator>
  <cp:lastModifiedBy>gzk-sry</cp:lastModifiedBy>
  <dcterms:modified xsi:type="dcterms:W3CDTF">2021-08-18T00:48:44Z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ADC4E8BA73F3406C8B3C02CB7F0A25CE</vt:lpwstr>
  </property>
</Properties>
</file>