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0"/>
          <w:szCs w:val="30"/>
        </w:rPr>
      </w:pPr>
      <w:r>
        <w:rPr>
          <w:rFonts w:hint="eastAsia" w:asciiTheme="majorEastAsia" w:hAnsiTheme="majorEastAsia" w:eastAsiaTheme="majorEastAsia" w:cstheme="majorEastAsia"/>
          <w:b/>
          <w:bCs/>
          <w:sz w:val="52"/>
          <w:szCs w:val="52"/>
        </w:rPr>
        <w:t>不锈钢移动输液架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不锈钢移动输液架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1、规格尺寸1100-2100mm任意调节高度；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2、材质：底座采用铸铁一次性铸造而成的梅花底座；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3、配高档2.5寸刹车脚轮5个;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4、输液架主体采用优质304#不锈钢，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5、底管采用直径25*1.2mm不锈钢管，内管采用直径19*1.2mm不锈钢管，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6、配有4个不锈钢输液挂钩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AA0EE3"/>
    <w:rsid w:val="071B1E18"/>
    <w:rsid w:val="487507CE"/>
    <w:rsid w:val="48AA0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2021-01-28T06:59:00Z</dcterms:created>
  <dc:creator>Administrator</dc:creator>
  <cp:lastModifiedBy>Administrator</cp:lastModifiedBy>
  <dcterms:modified xsi:type="dcterms:W3CDTF">2021-01-28T09:02:23Z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