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pPr w:leftFromText="180" w:rightFromText="180" w:vertAnchor="page" w:horzAnchor="margin" w:tblpXSpec="center" w:tblpY="1982"/>
        <w:tblW w:w="13008" w:type="dxa"/>
        <w:tblLayout w:type="fixed"/>
        <w:tblLook w:val="04A0"/>
      </w:tblPr>
      <w:tblGrid>
        <w:gridCol w:w="1242"/>
        <w:gridCol w:w="7938"/>
        <w:gridCol w:w="993"/>
        <w:gridCol w:w="1134"/>
        <w:gridCol w:w="1701"/>
      </w:tblGrid>
      <w:tr w:rsidR="000A134A" w:rsidTr="00D14BA4">
        <w:tc>
          <w:tcPr>
            <w:tcW w:w="1242" w:type="dxa"/>
          </w:tcPr>
          <w:p w:rsidR="000A134A" w:rsidRDefault="00737FA0" w:rsidP="00D14BA4">
            <w:pPr>
              <w:rPr>
                <w:b/>
                <w:lang w:eastAsia="zh-CN"/>
              </w:rPr>
            </w:pPr>
            <w:r>
              <w:rPr>
                <w:rFonts w:hint="eastAsia"/>
                <w:b/>
                <w:lang w:eastAsia="zh-CN"/>
              </w:rPr>
              <w:t>产品</w:t>
            </w:r>
            <w:r w:rsidR="00F826B1">
              <w:rPr>
                <w:rFonts w:hint="eastAsia"/>
                <w:b/>
                <w:lang w:eastAsia="zh-CN"/>
              </w:rPr>
              <w:t>名称</w:t>
            </w:r>
          </w:p>
        </w:tc>
        <w:tc>
          <w:tcPr>
            <w:tcW w:w="7938" w:type="dxa"/>
          </w:tcPr>
          <w:p w:rsidR="000A134A" w:rsidRDefault="00F826B1" w:rsidP="00D14BA4">
            <w:pPr>
              <w:jc w:val="center"/>
              <w:rPr>
                <w:lang w:eastAsia="zh-CN"/>
              </w:rPr>
            </w:pPr>
            <w:r>
              <w:rPr>
                <w:rFonts w:hint="eastAsia"/>
                <w:lang w:eastAsia="zh-CN"/>
              </w:rPr>
              <w:t>技术参数</w:t>
            </w:r>
          </w:p>
        </w:tc>
        <w:tc>
          <w:tcPr>
            <w:tcW w:w="993" w:type="dxa"/>
          </w:tcPr>
          <w:p w:rsidR="000A134A" w:rsidRDefault="00F826B1" w:rsidP="00D14BA4">
            <w:pPr>
              <w:rPr>
                <w:lang w:eastAsia="zh-CN"/>
              </w:rPr>
            </w:pPr>
            <w:r>
              <w:rPr>
                <w:rFonts w:hint="eastAsia"/>
                <w:lang w:eastAsia="zh-CN"/>
              </w:rPr>
              <w:t>数量</w:t>
            </w:r>
          </w:p>
        </w:tc>
        <w:tc>
          <w:tcPr>
            <w:tcW w:w="1134" w:type="dxa"/>
          </w:tcPr>
          <w:p w:rsidR="000A134A" w:rsidRDefault="00F826B1" w:rsidP="00D14BA4">
            <w:pPr>
              <w:rPr>
                <w:lang w:eastAsia="zh-CN"/>
              </w:rPr>
            </w:pPr>
            <w:r>
              <w:rPr>
                <w:rFonts w:hint="eastAsia"/>
                <w:lang w:eastAsia="zh-CN"/>
              </w:rPr>
              <w:t>推荐品牌</w:t>
            </w:r>
          </w:p>
        </w:tc>
        <w:tc>
          <w:tcPr>
            <w:tcW w:w="1701" w:type="dxa"/>
          </w:tcPr>
          <w:p w:rsidR="000A134A" w:rsidRDefault="00F826B1" w:rsidP="00D14BA4">
            <w:pPr>
              <w:rPr>
                <w:lang w:eastAsia="zh-CN"/>
              </w:rPr>
            </w:pPr>
            <w:r>
              <w:rPr>
                <w:rFonts w:hint="eastAsia"/>
                <w:lang w:eastAsia="zh-CN"/>
              </w:rPr>
              <w:t>预算最高限价</w:t>
            </w:r>
          </w:p>
        </w:tc>
      </w:tr>
      <w:tr w:rsidR="000A134A" w:rsidTr="00D14BA4">
        <w:tc>
          <w:tcPr>
            <w:tcW w:w="1242" w:type="dxa"/>
          </w:tcPr>
          <w:p w:rsidR="000A134A" w:rsidRDefault="000A134A" w:rsidP="00D14BA4">
            <w:pPr>
              <w:rPr>
                <w:b/>
                <w:lang w:eastAsia="zh-CN"/>
              </w:rPr>
            </w:pPr>
          </w:p>
          <w:p w:rsidR="000A134A" w:rsidRDefault="000A134A" w:rsidP="00D14BA4">
            <w:pPr>
              <w:rPr>
                <w:b/>
                <w:lang w:eastAsia="zh-CN"/>
              </w:rPr>
            </w:pPr>
          </w:p>
          <w:p w:rsidR="000A134A" w:rsidRDefault="000A134A" w:rsidP="00D14BA4">
            <w:pPr>
              <w:rPr>
                <w:b/>
                <w:lang w:eastAsia="zh-CN"/>
              </w:rPr>
            </w:pPr>
          </w:p>
          <w:p w:rsidR="000A134A" w:rsidRDefault="000A134A" w:rsidP="00D14BA4">
            <w:pPr>
              <w:rPr>
                <w:b/>
                <w:lang w:eastAsia="zh-CN"/>
              </w:rPr>
            </w:pPr>
          </w:p>
          <w:p w:rsidR="000A134A" w:rsidRDefault="000A134A" w:rsidP="00D14BA4">
            <w:pPr>
              <w:rPr>
                <w:b/>
                <w:lang w:eastAsia="zh-CN"/>
              </w:rPr>
            </w:pPr>
          </w:p>
          <w:p w:rsidR="000A134A" w:rsidRDefault="00F826B1" w:rsidP="00D14BA4">
            <w:pPr>
              <w:rPr>
                <w:b/>
                <w:lang w:eastAsia="zh-CN"/>
              </w:rPr>
            </w:pPr>
            <w:r>
              <w:rPr>
                <w:rFonts w:hint="eastAsia"/>
                <w:b/>
                <w:lang w:eastAsia="zh-CN"/>
              </w:rPr>
              <w:t>蓄电池</w:t>
            </w:r>
          </w:p>
        </w:tc>
        <w:tc>
          <w:tcPr>
            <w:tcW w:w="7938" w:type="dxa"/>
          </w:tcPr>
          <w:p w:rsidR="000A134A" w:rsidRDefault="00F826B1" w:rsidP="00D14BA4">
            <w:pPr>
              <w:pStyle w:val="a6"/>
              <w:rPr>
                <w:rFonts w:asciiTheme="minorEastAsia" w:hAnsiTheme="minorEastAsia"/>
                <w:lang w:eastAsia="zh-CN"/>
              </w:rPr>
            </w:pPr>
            <w:r>
              <w:rPr>
                <w:rFonts w:asciiTheme="minorEastAsia" w:hAnsiTheme="minorEastAsia" w:hint="eastAsia"/>
                <w:lang w:eastAsia="zh-CN"/>
              </w:rPr>
              <w:t>★1、12V100AH/ 节</w:t>
            </w:r>
            <w:bookmarkStart w:id="0" w:name="_GoBack"/>
            <w:bookmarkEnd w:id="0"/>
          </w:p>
          <w:p w:rsidR="000A134A" w:rsidRDefault="00F826B1" w:rsidP="00D14BA4">
            <w:pPr>
              <w:pStyle w:val="a6"/>
              <w:rPr>
                <w:rFonts w:asciiTheme="minorEastAsia" w:hAnsiTheme="minorEastAsia"/>
                <w:lang w:eastAsia="zh-CN"/>
              </w:rPr>
            </w:pPr>
            <w:r>
              <w:rPr>
                <w:rFonts w:asciiTheme="minorEastAsia" w:hAnsiTheme="minorEastAsia" w:hint="eastAsia"/>
                <w:lang w:eastAsia="zh-CN"/>
              </w:rPr>
              <w:t>2、蓄电池应通过抗震检测，其抗震等级应不低于9级，并提供检测报告复印件；</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3 、蓄电池应具有泰尔检测认证及检测报告，并提供检测报告复印件；</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4、 蓄电池应采用高功率涂膏式正极板设计，内阻低、输出电流大；</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5、 蓄电池应采用镶嵌式内螺纹铜芯端子，确保无金属铅或铅合金外露；</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6、 蓄电池槽、盖应采用高强度ABS材料制造，并具有阻燃性，正常工作条件下不出现鼓胀或收缩变形；</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7、 蓄电池正负极性及端子有明显标志，便于连接；</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8、 蓄电池连接件压降应低于7mV，需提供检测报告复印件证明。</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9、 蓄电池在25℃满容量状态下，静置28天后其蓄电池容量保存率应在96%以上 ，需提供检测报告复印件证明；</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10、蓄电池需通过高温加速浮充寿命实验，提供检测报告；</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11、 蓄电池在-30℃和+65℃时封口剂应无裂纹及溢留；</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 xml:space="preserve">★12、蓄电池需通过100%DOD循环寿命实验，提供检测报告； </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13、 同组蓄电池充满电后静置3-6小时后，其开路电压压差不应超出40mV，需提供检测报告复印件证明；</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14、 蓄电池密封反应效率不低于99.5%，需提供检测报告复印件证明；</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15、 蓄电池在环境温度25±5℃的条件下，储存24h，通过安全阀向蓄电池充气在内外压差为50Kpa时并持续不少于5s时，能够不破裂、不开胶、压力释放后壳体无残余变形；</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 xml:space="preserve"> 16、提供蓄电池型式实验检测报告，符合YD/T799-2010《通信用阀控式密封铅酸蓄电池》标准技术要求；</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t>17、 同组蓄电池在25℃环境中，每单只蓄电池以恒流I10作放电测试，其蓄电池组中的最大最小其容量差值应小于5%，需提供检测报告复印件证明；</w:t>
            </w:r>
          </w:p>
          <w:p w:rsidR="000A134A" w:rsidRDefault="00F826B1" w:rsidP="00D14BA4">
            <w:pPr>
              <w:pStyle w:val="a6"/>
              <w:rPr>
                <w:rFonts w:asciiTheme="minorEastAsia" w:hAnsiTheme="minorEastAsia"/>
                <w:lang w:eastAsia="zh-CN"/>
              </w:rPr>
            </w:pPr>
            <w:r>
              <w:rPr>
                <w:rFonts w:asciiTheme="minorEastAsia" w:hAnsiTheme="minorEastAsia" w:hint="eastAsia"/>
                <w:lang w:eastAsia="zh-CN"/>
              </w:rPr>
              <w:lastRenderedPageBreak/>
              <w:t>18、 蓄电池连接初电流为I10的电阻连续过放30d后，马上充电后容量应能保持在原容量的99%以上，需提供检测报告复印件证明。</w:t>
            </w:r>
          </w:p>
          <w:p w:rsidR="000A134A" w:rsidRDefault="00F826B1" w:rsidP="00D14BA4">
            <w:pPr>
              <w:rPr>
                <w:lang w:eastAsia="zh-CN"/>
              </w:rPr>
            </w:pPr>
            <w:r>
              <w:rPr>
                <w:rFonts w:asciiTheme="minorEastAsia" w:hAnsiTheme="minorEastAsia" w:hint="eastAsia"/>
                <w:lang w:eastAsia="zh-CN"/>
              </w:rPr>
              <w:t>19、提供设备制造商三年售后服务承诺，制造商需在芜湖本地设有售后客户服务中心或分公司，提供原厂证明材料加盖公章。</w:t>
            </w:r>
          </w:p>
        </w:tc>
        <w:tc>
          <w:tcPr>
            <w:tcW w:w="993" w:type="dxa"/>
          </w:tcPr>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F826B1" w:rsidP="00D14BA4">
            <w:pPr>
              <w:rPr>
                <w:lang w:eastAsia="zh-CN"/>
              </w:rPr>
            </w:pPr>
            <w:r>
              <w:rPr>
                <w:rFonts w:hint="eastAsia"/>
                <w:lang w:eastAsia="zh-CN"/>
              </w:rPr>
              <w:t>68</w:t>
            </w:r>
            <w:r>
              <w:rPr>
                <w:rFonts w:hint="eastAsia"/>
                <w:lang w:eastAsia="zh-CN"/>
              </w:rPr>
              <w:t>节</w:t>
            </w:r>
          </w:p>
        </w:tc>
        <w:tc>
          <w:tcPr>
            <w:tcW w:w="1134" w:type="dxa"/>
          </w:tcPr>
          <w:p w:rsidR="000A134A" w:rsidRDefault="000A134A" w:rsidP="00D14BA4">
            <w:pPr>
              <w:rPr>
                <w:rFonts w:ascii="宋体" w:hAnsi="宋体" w:cs="宋体"/>
                <w:lang w:eastAsia="zh-CN"/>
              </w:rPr>
            </w:pPr>
          </w:p>
          <w:p w:rsidR="000A134A" w:rsidRDefault="000A134A" w:rsidP="00D14BA4">
            <w:pPr>
              <w:rPr>
                <w:rFonts w:ascii="宋体" w:hAnsi="宋体" w:cs="宋体"/>
                <w:lang w:eastAsia="zh-CN"/>
              </w:rPr>
            </w:pPr>
          </w:p>
          <w:p w:rsidR="000A134A" w:rsidRDefault="000A134A" w:rsidP="00D14BA4">
            <w:pPr>
              <w:rPr>
                <w:rFonts w:ascii="宋体" w:hAnsi="宋体" w:cs="宋体"/>
                <w:lang w:eastAsia="zh-CN"/>
              </w:rPr>
            </w:pPr>
          </w:p>
          <w:p w:rsidR="000A134A" w:rsidRDefault="000A134A" w:rsidP="00D14BA4">
            <w:pPr>
              <w:rPr>
                <w:rFonts w:ascii="宋体" w:hAnsi="宋体" w:cs="宋体"/>
                <w:lang w:eastAsia="zh-CN"/>
              </w:rPr>
            </w:pPr>
          </w:p>
          <w:p w:rsidR="000A134A" w:rsidRDefault="000A134A" w:rsidP="00D14BA4">
            <w:pPr>
              <w:rPr>
                <w:rFonts w:ascii="宋体" w:hAnsi="宋体" w:cs="宋体"/>
                <w:lang w:eastAsia="zh-CN"/>
              </w:rPr>
            </w:pPr>
          </w:p>
          <w:p w:rsidR="000A134A" w:rsidRDefault="000A134A" w:rsidP="00D14BA4">
            <w:pPr>
              <w:rPr>
                <w:rFonts w:ascii="宋体" w:hAnsi="宋体" w:cs="宋体"/>
                <w:lang w:eastAsia="zh-CN"/>
              </w:rPr>
            </w:pPr>
          </w:p>
          <w:p w:rsidR="000A134A" w:rsidRDefault="00F826B1" w:rsidP="00D14BA4">
            <w:pPr>
              <w:rPr>
                <w:lang w:eastAsia="zh-CN"/>
              </w:rPr>
            </w:pPr>
            <w:r>
              <w:rPr>
                <w:rFonts w:ascii="宋体" w:hAnsi="宋体" w:cs="宋体" w:hint="eastAsia"/>
                <w:lang w:eastAsia="zh-CN"/>
              </w:rPr>
              <w:t>英维克、易事特、APC</w:t>
            </w:r>
          </w:p>
        </w:tc>
        <w:tc>
          <w:tcPr>
            <w:tcW w:w="1701" w:type="dxa"/>
          </w:tcPr>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0A134A" w:rsidP="00D14BA4">
            <w:pPr>
              <w:rPr>
                <w:lang w:eastAsia="zh-CN"/>
              </w:rPr>
            </w:pPr>
          </w:p>
          <w:p w:rsidR="000A134A" w:rsidRDefault="00E234B3" w:rsidP="00E234B3">
            <w:pPr>
              <w:jc w:val="center"/>
              <w:rPr>
                <w:lang w:eastAsia="zh-CN"/>
              </w:rPr>
            </w:pPr>
            <w:r>
              <w:rPr>
                <w:rFonts w:hint="eastAsia"/>
                <w:lang w:eastAsia="zh-CN"/>
              </w:rPr>
              <w:t>6.5</w:t>
            </w:r>
            <w:r w:rsidR="00F826B1">
              <w:rPr>
                <w:rFonts w:hint="eastAsia"/>
                <w:lang w:eastAsia="zh-CN"/>
              </w:rPr>
              <w:t>万元</w:t>
            </w:r>
          </w:p>
        </w:tc>
      </w:tr>
    </w:tbl>
    <w:p w:rsidR="00E234B3" w:rsidRDefault="00E234B3" w:rsidP="00E234B3">
      <w:pPr>
        <w:ind w:firstLineChars="200" w:firstLine="440"/>
      </w:pPr>
      <w:proofErr w:type="spellStart"/>
      <w:r w:rsidRPr="00775393">
        <w:rPr>
          <w:rFonts w:hint="eastAsia"/>
        </w:rPr>
        <w:lastRenderedPageBreak/>
        <w:t>注：谈判响应方所投产品需提供相关证明材料证明其产品性能不低于上表推荐品牌的技术参数要求，推荐品牌仅供参考</w:t>
      </w:r>
      <w:proofErr w:type="spellEnd"/>
      <w:r w:rsidRPr="00775393">
        <w:rPr>
          <w:rFonts w:hint="eastAsia"/>
        </w:rPr>
        <w:t>。</w:t>
      </w:r>
    </w:p>
    <w:p w:rsidR="000A134A" w:rsidRDefault="000A134A" w:rsidP="00E234B3">
      <w:pPr>
        <w:rPr>
          <w:lang w:eastAsia="zh-CN"/>
        </w:rPr>
      </w:pPr>
    </w:p>
    <w:sectPr w:rsidR="000A134A" w:rsidSect="000A134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3EE" w:rsidRDefault="00A943EE" w:rsidP="00D14BA4">
      <w:pPr>
        <w:spacing w:after="0" w:line="240" w:lineRule="auto"/>
      </w:pPr>
      <w:r>
        <w:separator/>
      </w:r>
    </w:p>
  </w:endnote>
  <w:endnote w:type="continuationSeparator" w:id="0">
    <w:p w:rsidR="00A943EE" w:rsidRDefault="00A943EE" w:rsidP="00D14B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3EE" w:rsidRDefault="00A943EE" w:rsidP="00D14BA4">
      <w:pPr>
        <w:spacing w:after="0" w:line="240" w:lineRule="auto"/>
      </w:pPr>
      <w:r>
        <w:separator/>
      </w:r>
    </w:p>
  </w:footnote>
  <w:footnote w:type="continuationSeparator" w:id="0">
    <w:p w:rsidR="00A943EE" w:rsidRDefault="00A943EE" w:rsidP="00D14B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8847E"/>
    <w:multiLevelType w:val="singleLevel"/>
    <w:tmpl w:val="11F8847E"/>
    <w:lvl w:ilvl="0">
      <w:start w:val="1"/>
      <w:numFmt w:val="decimal"/>
      <w:suff w:val="nothing"/>
      <w:lvlText w:val="%1、"/>
      <w:lvlJc w:val="left"/>
    </w:lvl>
  </w:abstractNum>
  <w:abstractNum w:abstractNumId="1">
    <w:nsid w:val="58156DED"/>
    <w:multiLevelType w:val="multilevel"/>
    <w:tmpl w:val="58156DE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4BD4"/>
    <w:rsid w:val="000A134A"/>
    <w:rsid w:val="000B5BA7"/>
    <w:rsid w:val="00192599"/>
    <w:rsid w:val="003A410D"/>
    <w:rsid w:val="00442F5E"/>
    <w:rsid w:val="00443079"/>
    <w:rsid w:val="00614CF8"/>
    <w:rsid w:val="006A109C"/>
    <w:rsid w:val="00715DD4"/>
    <w:rsid w:val="007313E8"/>
    <w:rsid w:val="00737FA0"/>
    <w:rsid w:val="00872AD3"/>
    <w:rsid w:val="00892820"/>
    <w:rsid w:val="008961A0"/>
    <w:rsid w:val="00911ADF"/>
    <w:rsid w:val="009C4BD4"/>
    <w:rsid w:val="00A943EE"/>
    <w:rsid w:val="00AF42FE"/>
    <w:rsid w:val="00B02A4A"/>
    <w:rsid w:val="00C95FC9"/>
    <w:rsid w:val="00CE7B74"/>
    <w:rsid w:val="00D14BA4"/>
    <w:rsid w:val="00D15263"/>
    <w:rsid w:val="00E234B3"/>
    <w:rsid w:val="00F826B1"/>
    <w:rsid w:val="1F4E78E3"/>
    <w:rsid w:val="72FE52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34A"/>
    <w:pPr>
      <w:spacing w:after="200" w:line="276" w:lineRule="auto"/>
    </w:pPr>
    <w:rPr>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A134A"/>
    <w:pPr>
      <w:tabs>
        <w:tab w:val="center" w:pos="4153"/>
        <w:tab w:val="right" w:pos="8306"/>
      </w:tabs>
      <w:snapToGrid w:val="0"/>
    </w:pPr>
    <w:rPr>
      <w:sz w:val="18"/>
      <w:szCs w:val="18"/>
    </w:rPr>
  </w:style>
  <w:style w:type="paragraph" w:styleId="a4">
    <w:name w:val="header"/>
    <w:basedOn w:val="a"/>
    <w:link w:val="Char0"/>
    <w:uiPriority w:val="99"/>
    <w:semiHidden/>
    <w:unhideWhenUsed/>
    <w:rsid w:val="000A134A"/>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0A1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rsid w:val="000A134A"/>
    <w:rPr>
      <w:sz w:val="18"/>
      <w:szCs w:val="18"/>
    </w:rPr>
  </w:style>
  <w:style w:type="character" w:customStyle="1" w:styleId="Char">
    <w:name w:val="页脚 Char"/>
    <w:basedOn w:val="a0"/>
    <w:link w:val="a3"/>
    <w:uiPriority w:val="99"/>
    <w:semiHidden/>
    <w:rsid w:val="000A134A"/>
    <w:rPr>
      <w:sz w:val="18"/>
      <w:szCs w:val="18"/>
    </w:rPr>
  </w:style>
  <w:style w:type="paragraph" w:styleId="a6">
    <w:name w:val="No Spacing"/>
    <w:uiPriority w:val="1"/>
    <w:qFormat/>
    <w:rsid w:val="000A134A"/>
    <w:rPr>
      <w:sz w:val="22"/>
      <w:szCs w:val="22"/>
      <w:lang w:eastAsia="en-US" w:bidi="en-US"/>
    </w:rPr>
  </w:style>
  <w:style w:type="paragraph" w:styleId="a7">
    <w:name w:val="List Paragraph"/>
    <w:basedOn w:val="a"/>
    <w:uiPriority w:val="34"/>
    <w:qFormat/>
    <w:rsid w:val="000A134A"/>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Pages>
  <Words>142</Words>
  <Characters>812</Characters>
  <Application>Microsoft Office Word</Application>
  <DocSecurity>0</DocSecurity>
  <Lines>6</Lines>
  <Paragraphs>1</Paragraphs>
  <ScaleCrop>false</ScaleCrop>
  <Company>皖医二附院</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信息中心</dc:creator>
  <cp:lastModifiedBy>Administrator</cp:lastModifiedBy>
  <cp:revision>13</cp:revision>
  <dcterms:created xsi:type="dcterms:W3CDTF">2020-10-23T01:49:00Z</dcterms:created>
  <dcterms:modified xsi:type="dcterms:W3CDTF">2020-11-06T08:19:00Z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